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66" w:rsidRPr="003D6098" w:rsidRDefault="00BF0366" w:rsidP="003D6098">
      <w:pPr>
        <w:pStyle w:val="Nagwek1"/>
      </w:pPr>
      <w:r w:rsidRPr="003D6098">
        <w:t>REKTOR</w:t>
      </w:r>
    </w:p>
    <w:p w:rsidR="004A1838" w:rsidRDefault="00C50A0A" w:rsidP="00F665FF">
      <w:pPr>
        <w:pStyle w:val="Nagwekdokumentu"/>
      </w:pPr>
      <w:r>
        <w:t>ZARZĄDZENIE WEWNĘTRZNE</w:t>
      </w:r>
      <w:r w:rsidR="00F63642">
        <w:t xml:space="preserve"> </w:t>
      </w:r>
      <w:r w:rsidR="00B354AA">
        <w:t>40</w:t>
      </w:r>
      <w:r w:rsidR="008174DC">
        <w:t>/</w:t>
      </w:r>
      <w:r w:rsidR="00B71B5E">
        <w:t>202</w:t>
      </w:r>
      <w:r w:rsidR="00C46738">
        <w:t>2</w:t>
      </w:r>
    </w:p>
    <w:p w:rsidR="00963FFF" w:rsidRPr="003345AA" w:rsidRDefault="00963FFF" w:rsidP="00963FFF">
      <w:pPr>
        <w:pStyle w:val="Zdnia"/>
      </w:pPr>
      <w:r w:rsidRPr="003345AA">
        <w:t>z dnia</w:t>
      </w:r>
      <w:r w:rsidR="00F63642">
        <w:t xml:space="preserve"> </w:t>
      </w:r>
      <w:r w:rsidR="00B354AA">
        <w:t>25</w:t>
      </w:r>
      <w:r w:rsidR="00E1267F">
        <w:t xml:space="preserve"> </w:t>
      </w:r>
      <w:r w:rsidR="00C46738">
        <w:t>marca</w:t>
      </w:r>
      <w:r w:rsidR="00F63642">
        <w:t xml:space="preserve"> </w:t>
      </w:r>
      <w:r w:rsidR="00B71B5E">
        <w:t>202</w:t>
      </w:r>
      <w:r w:rsidR="00C46738">
        <w:t>2</w:t>
      </w:r>
      <w:r w:rsidR="008079A0">
        <w:t xml:space="preserve"> r.</w:t>
      </w:r>
    </w:p>
    <w:p w:rsidR="00D13A1C" w:rsidRDefault="00C52B3C" w:rsidP="00291329">
      <w:pPr>
        <w:pStyle w:val="Tytudokumentu"/>
      </w:pPr>
      <w:r>
        <w:t xml:space="preserve">w sprawie </w:t>
      </w:r>
      <w:r w:rsidR="004364DF">
        <w:t xml:space="preserve">zmian w Regulaminie </w:t>
      </w:r>
      <w:r w:rsidR="004B10CF">
        <w:t>pracy Politechniki Wrocławskiej</w:t>
      </w:r>
      <w:r w:rsidR="006A5BD4">
        <w:br/>
        <w:t xml:space="preserve"> (zmiana ZW 66/2019 </w:t>
      </w:r>
      <w:r w:rsidR="00AF4F73">
        <w:t xml:space="preserve">ze zmianą </w:t>
      </w:r>
      <w:r w:rsidR="00EF08D5">
        <w:t>ZW 111/2021</w:t>
      </w:r>
      <w:r w:rsidR="006A5BD4">
        <w:t>)</w:t>
      </w:r>
    </w:p>
    <w:p w:rsidR="00D13A1C" w:rsidRPr="00CB6398" w:rsidRDefault="005175AC" w:rsidP="00EE06D1">
      <w:pPr>
        <w:jc w:val="both"/>
      </w:pPr>
      <w:r w:rsidRPr="00CB6398">
        <w:t xml:space="preserve">Na podstawie § </w:t>
      </w:r>
      <w:r w:rsidR="00C46738" w:rsidRPr="00CB6398">
        <w:t>4</w:t>
      </w:r>
      <w:r w:rsidRPr="00CB6398">
        <w:t xml:space="preserve"> ust.</w:t>
      </w:r>
      <w:r w:rsidR="00EF08D5" w:rsidRPr="00CB6398">
        <w:t xml:space="preserve"> </w:t>
      </w:r>
      <w:r w:rsidRPr="00CB6398">
        <w:t xml:space="preserve">1 pkt </w:t>
      </w:r>
      <w:r w:rsidR="00C46738" w:rsidRPr="00CB6398">
        <w:t>1</w:t>
      </w:r>
      <w:r w:rsidRPr="00CB6398">
        <w:t xml:space="preserve"> Statutu</w:t>
      </w:r>
      <w:r w:rsidR="00CB6398" w:rsidRPr="00CB6398">
        <w:t xml:space="preserve"> Politechniki Wrocławskiej</w:t>
      </w:r>
      <w:r w:rsidRPr="00CB6398">
        <w:t>, w uzgodnieniu z zakładowymi organizacjami związkowymi</w:t>
      </w:r>
      <w:r w:rsidR="0081753D" w:rsidRPr="00CB6398">
        <w:t xml:space="preserve"> zarządza się, co następuje:</w:t>
      </w:r>
    </w:p>
    <w:p w:rsidR="004B10CF" w:rsidRPr="00CB6398" w:rsidRDefault="00D13A1C" w:rsidP="00595E3C">
      <w:pPr>
        <w:spacing w:before="240"/>
        <w:jc w:val="center"/>
      </w:pPr>
      <w:r w:rsidRPr="00CB6398">
        <w:t>§ 1</w:t>
      </w:r>
    </w:p>
    <w:p w:rsidR="006A5BD4" w:rsidRPr="00CB6398" w:rsidRDefault="006A5BD4" w:rsidP="00EE06D1">
      <w:pPr>
        <w:jc w:val="both"/>
      </w:pPr>
      <w:r w:rsidRPr="00CB6398">
        <w:t>W Regulaminie pracy Politechniki Wrocławskiej</w:t>
      </w:r>
      <w:r w:rsidR="00EF08D5" w:rsidRPr="00CB6398">
        <w:t xml:space="preserve"> (tekst jednolity </w:t>
      </w:r>
      <w:r w:rsidR="00CB6398">
        <w:t xml:space="preserve">– </w:t>
      </w:r>
      <w:r w:rsidR="00EF08D5" w:rsidRPr="00CB6398">
        <w:t>załącznik do Z</w:t>
      </w:r>
      <w:r w:rsidR="00CB6398">
        <w:t xml:space="preserve">arządzenia </w:t>
      </w:r>
      <w:r w:rsidR="00EF08D5" w:rsidRPr="00CB6398">
        <w:t>W</w:t>
      </w:r>
      <w:r w:rsidR="00CB6398">
        <w:t>ewnętrznego</w:t>
      </w:r>
      <w:r w:rsidR="00EF08D5" w:rsidRPr="00CB6398">
        <w:t xml:space="preserve"> 111/2021 z dnia 15 września 2021 r</w:t>
      </w:r>
      <w:r w:rsidR="00CB6398">
        <w:t>oku</w:t>
      </w:r>
      <w:r w:rsidR="00EF08D5" w:rsidRPr="00CB6398">
        <w:t xml:space="preserve"> </w:t>
      </w:r>
      <w:bookmarkStart w:id="0" w:name="_Hlk99028334"/>
      <w:r w:rsidR="00EF08D5" w:rsidRPr="00CB6398">
        <w:rPr>
          <w:i/>
        </w:rPr>
        <w:t>w sprawie zmian w Regulaminie pracy Politechniki Wrocławskiej</w:t>
      </w:r>
      <w:r w:rsidR="00CB6398" w:rsidRPr="00CB6398">
        <w:rPr>
          <w:i/>
        </w:rPr>
        <w:t xml:space="preserve"> (zmiana ZW 66/2019 z </w:t>
      </w:r>
      <w:proofErr w:type="spellStart"/>
      <w:r w:rsidR="00CB6398" w:rsidRPr="00CB6398">
        <w:rPr>
          <w:i/>
        </w:rPr>
        <w:t>późn</w:t>
      </w:r>
      <w:proofErr w:type="spellEnd"/>
      <w:r w:rsidR="00CB6398" w:rsidRPr="00CB6398">
        <w:rPr>
          <w:i/>
        </w:rPr>
        <w:t>. zm.)</w:t>
      </w:r>
      <w:bookmarkEnd w:id="0"/>
      <w:r w:rsidRPr="00CB6398">
        <w:t>)</w:t>
      </w:r>
      <w:r w:rsidR="00EF08D5" w:rsidRPr="00CB6398">
        <w:t xml:space="preserve"> wprowadza się następujące zmiany</w:t>
      </w:r>
      <w:r w:rsidRPr="00CB6398">
        <w:t>:</w:t>
      </w:r>
    </w:p>
    <w:p w:rsidR="008174DC" w:rsidRPr="00CB6398" w:rsidRDefault="008174DC" w:rsidP="00CB6398">
      <w:pPr>
        <w:numPr>
          <w:ilvl w:val="0"/>
          <w:numId w:val="26"/>
        </w:numPr>
        <w:spacing w:before="120"/>
        <w:ind w:left="714" w:hanging="357"/>
        <w:jc w:val="both"/>
      </w:pPr>
      <w:r w:rsidRPr="00CB6398">
        <w:rPr>
          <w:color w:val="262626"/>
        </w:rPr>
        <w:t xml:space="preserve">§ </w:t>
      </w:r>
      <w:r w:rsidR="00C46738" w:rsidRPr="00CB6398">
        <w:rPr>
          <w:color w:val="262626"/>
        </w:rPr>
        <w:t>42</w:t>
      </w:r>
      <w:r w:rsidRPr="00CB6398">
        <w:rPr>
          <w:color w:val="262626"/>
        </w:rPr>
        <w:t xml:space="preserve"> otrzymuje </w:t>
      </w:r>
      <w:r w:rsidR="006A5BD4" w:rsidRPr="00CB6398">
        <w:rPr>
          <w:color w:val="262626"/>
        </w:rPr>
        <w:t xml:space="preserve">następujące </w:t>
      </w:r>
      <w:r w:rsidRPr="00CB6398">
        <w:rPr>
          <w:color w:val="262626"/>
        </w:rPr>
        <w:t>brzmienie:</w:t>
      </w:r>
    </w:p>
    <w:p w:rsidR="00C46738" w:rsidRPr="00CB6398" w:rsidRDefault="000630FD" w:rsidP="00EE06D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B6398">
        <w:rPr>
          <w:color w:val="262626"/>
        </w:rPr>
        <w:t>„</w:t>
      </w:r>
      <w:r w:rsidR="00C46738" w:rsidRPr="00CB6398">
        <w:rPr>
          <w:b/>
        </w:rPr>
        <w:t>§ 42</w:t>
      </w:r>
    </w:p>
    <w:p w:rsidR="00C46738" w:rsidRPr="00CB6398" w:rsidRDefault="00C46738" w:rsidP="00CB6398">
      <w:pPr>
        <w:spacing w:after="120"/>
        <w:ind w:left="720"/>
        <w:jc w:val="center"/>
        <w:rPr>
          <w:b/>
          <w:bCs/>
          <w:lang w:eastAsia="en-US"/>
        </w:rPr>
      </w:pPr>
      <w:r w:rsidRPr="00CB6398">
        <w:rPr>
          <w:b/>
        </w:rPr>
        <w:t>Zasady ustalania obniżonego pensum dydaktycznego dla osób pełniących określone funkcje w Uczelni lub realizujących ważne zadania dla Uczelni</w:t>
      </w:r>
    </w:p>
    <w:p w:rsidR="00C46738" w:rsidRPr="00CB6398" w:rsidRDefault="00C46738" w:rsidP="00EE06D1">
      <w:pPr>
        <w:numPr>
          <w:ilvl w:val="0"/>
          <w:numId w:val="27"/>
        </w:numPr>
        <w:tabs>
          <w:tab w:val="left" w:pos="1134"/>
        </w:tabs>
        <w:jc w:val="both"/>
      </w:pPr>
      <w:r w:rsidRPr="00CB6398">
        <w:t>Rektor może ustalić pensum dydaktyczne na poziomie niższym w stosunku do pensum określonego w § 41 ust. 2 i § 41 ust 13 (obniżone pensum dydaktyczne) dla osób pełniących funkcje kierownicze w Uczelni lub realizujących ważne zadania dla Uczelni: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 xml:space="preserve">prorektorów –  o 150 godzin obliczeniowych rocznie; 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>dziekanów wydziałów – o 120 godzin obliczeniowych rocznie;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>dziekana Szkoły Doktorskiej – o 90 godzin obliczeniowych rocznie;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>przewodniczących rad dyscyplin naukowych, prodziekanów wydziałów – o 75 godzin  obliczeniowych rocznie;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>nauczycieli akademickich pełniący funkcję: członka Rady Głównej Nauki i Szkolnictwa Wyższego, Rady Doskonałości Naukowej, Polskiej Komisji Akredytacyjnej, Komisji Ewaluacji Nauki, Komitetu Polityki Naukowej, Rady Narodowego Centrum Badań i Rozwoju, Rady Narodowego Centrum Nauki, a także rzecznika dyscyplinarnego ds. nauczycieli akademickich, dyrektorów instytutów, dyrektorów filii, dyrektora Studium Języków Obcych – o 60 godzin obliczeniowych rocznie;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>prodziekanów Szkoły Doktorskiej, dyrektorów centrów stanowiących jednostki organizacyjne Uczelni – o 45 godzin obliczeniowych rocznie;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>kierowników katedr, zastępców przewodniczących rad dyscyplin naukowych, rzecznika dyscyplinarnego ds. studentów, rzecznika dyscyplinarnego ds. doktorantów, dyrektora Studium Wychowania Fizycznego i Sportu – o 30 godzin obliczeniowych rocznie;</w:t>
      </w:r>
    </w:p>
    <w:p w:rsidR="00C46738" w:rsidRPr="00CB6398" w:rsidRDefault="00C46738" w:rsidP="00CB6398">
      <w:pPr>
        <w:pStyle w:val="Akapitzlist"/>
        <w:numPr>
          <w:ilvl w:val="0"/>
          <w:numId w:val="46"/>
        </w:numPr>
        <w:ind w:left="851"/>
        <w:jc w:val="both"/>
      </w:pPr>
      <w:r w:rsidRPr="00CB6398">
        <w:t>zastępców kierowników katedr, kierowników zakładów, zastępców dyrektorów: instytutu, filii, Studium Języków Obcych, Studium Wychowania Fizycznego i Sportu oraz centrów stanowiących jednostki organizacyjne Uczelni, kierowników dyscyplin kształcenia w Szkole Doktorskiej, kierowników studiów doktoranckich – o 15 godzin obliczeniowych rocznie.</w:t>
      </w:r>
    </w:p>
    <w:p w:rsidR="00C46738" w:rsidRPr="00CB6398" w:rsidRDefault="00C46738" w:rsidP="00EE06D1">
      <w:pPr>
        <w:ind w:left="360"/>
        <w:jc w:val="both"/>
      </w:pPr>
      <w:r w:rsidRPr="00CB6398">
        <w:lastRenderedPageBreak/>
        <w:t>Obniżenie pensum nie może być wyższe niż o 150 godzin obliczeniowych rocznie.</w:t>
      </w:r>
    </w:p>
    <w:p w:rsidR="00C46738" w:rsidRPr="00CB6398" w:rsidRDefault="00C46738" w:rsidP="00EE06D1">
      <w:pPr>
        <w:ind w:left="360"/>
        <w:jc w:val="both"/>
      </w:pPr>
      <w:r w:rsidRPr="00CB6398">
        <w:t>Godziny przepracowane ponad wymiar obniżonego pensum do wymiaru wynikającego z</w:t>
      </w:r>
      <w:r w:rsidR="00CB6398">
        <w:t> </w:t>
      </w:r>
      <w:r w:rsidRPr="00CB6398">
        <w:t>§</w:t>
      </w:r>
      <w:r w:rsidR="00CB6398">
        <w:t> </w:t>
      </w:r>
      <w:r w:rsidRPr="00CB6398">
        <w:t>41 ust. 2 i § 41 ust. 13 nie stanowią godzin ponadwymiarowych.</w:t>
      </w:r>
    </w:p>
    <w:p w:rsidR="00C46738" w:rsidRPr="00CB6398" w:rsidRDefault="00C46738" w:rsidP="00EE06D1">
      <w:pPr>
        <w:numPr>
          <w:ilvl w:val="0"/>
          <w:numId w:val="27"/>
        </w:numPr>
        <w:jc w:val="both"/>
      </w:pPr>
      <w:r w:rsidRPr="00CB6398">
        <w:t>Poza przypadkami określonymi w ust. 1 Rektor z własnej inicjatywy lub na wniosek zainteresowanego ze względu na powierzenie nauczycielowi akademickiemu wykonywania ważnych zadań dla Uczelni może ustalić obniżony wymiar zajęć dydaktycznych w okresie wykonywania powierzonych zadań, również poniżej minimalnego pensum określonego w § 41 ust. 11 i 12 lub zwolnić go całkowicie z obowiązku prowadzenia zajęć dydaktycznych. Godziny przepracowane ponad wymiar obniżonego pensum do wymiaru wynikającego z § 41 ust. 2 i § 41 ust. 13 nie stanowią godzin ponadwymiarowych.</w:t>
      </w:r>
    </w:p>
    <w:p w:rsidR="00C46738" w:rsidRPr="00CB6398" w:rsidRDefault="00C46738" w:rsidP="00EE06D1">
      <w:pPr>
        <w:ind w:left="360"/>
        <w:jc w:val="both"/>
      </w:pPr>
      <w:r w:rsidRPr="00CB6398">
        <w:t xml:space="preserve">Rektor może obniżyć do 120 godzin wymiar zajęć dydaktycznych członkom programu </w:t>
      </w:r>
      <w:proofErr w:type="spellStart"/>
      <w:r w:rsidRPr="00CB6398">
        <w:t>Academia</w:t>
      </w:r>
      <w:proofErr w:type="spellEnd"/>
      <w:r w:rsidRPr="00CB6398">
        <w:t xml:space="preserve"> </w:t>
      </w:r>
      <w:proofErr w:type="spellStart"/>
      <w:r w:rsidRPr="00CB6398">
        <w:t>Iuvenum</w:t>
      </w:r>
      <w:proofErr w:type="spellEnd"/>
      <w:r w:rsidRPr="00CB6398">
        <w:t xml:space="preserve"> stanowiącym załącznik nr 6.</w:t>
      </w:r>
    </w:p>
    <w:p w:rsidR="00C46738" w:rsidRPr="00CB6398" w:rsidRDefault="00C46738" w:rsidP="00EE06D1">
      <w:pPr>
        <w:ind w:left="360"/>
        <w:jc w:val="both"/>
      </w:pPr>
      <w:r w:rsidRPr="00CB6398">
        <w:t xml:space="preserve">Rektor może obniżyć wymiar zajęć dydaktycznych osobom spełniającym wymagania określone w regulaminie programu </w:t>
      </w:r>
      <w:proofErr w:type="spellStart"/>
      <w:r w:rsidRPr="00CB6398">
        <w:t>Tertius</w:t>
      </w:r>
      <w:proofErr w:type="spellEnd"/>
      <w:r w:rsidRPr="00CB6398">
        <w:t xml:space="preserve"> na zasadach określonych w załączniku nr 7.</w:t>
      </w:r>
    </w:p>
    <w:p w:rsidR="00C46738" w:rsidRPr="00CB6398" w:rsidRDefault="00C46738" w:rsidP="00EE06D1">
      <w:pPr>
        <w:pStyle w:val="Akapitzlist"/>
        <w:numPr>
          <w:ilvl w:val="0"/>
          <w:numId w:val="27"/>
        </w:numPr>
        <w:jc w:val="both"/>
      </w:pPr>
      <w:r w:rsidRPr="00CB6398">
        <w:t>Osobom zatrudnionym na części etatu nie przysługuje obniżone pensum.</w:t>
      </w:r>
    </w:p>
    <w:p w:rsidR="00C46738" w:rsidRPr="00CB6398" w:rsidRDefault="00C46738" w:rsidP="00EE06D1">
      <w:pPr>
        <w:pStyle w:val="Akapitzlist"/>
        <w:numPr>
          <w:ilvl w:val="0"/>
          <w:numId w:val="27"/>
        </w:numPr>
        <w:jc w:val="both"/>
      </w:pPr>
      <w:r w:rsidRPr="00CB6398">
        <w:t>Obniżone pensum dydaktyczne może być ustalone tylko z jednego tytułu, korzystniejszego dla pracownika.</w:t>
      </w:r>
    </w:p>
    <w:p w:rsidR="00C46738" w:rsidRPr="00CB6398" w:rsidRDefault="00C46738" w:rsidP="00EE06D1">
      <w:pPr>
        <w:pStyle w:val="Akapitzlist"/>
        <w:numPr>
          <w:ilvl w:val="0"/>
          <w:numId w:val="27"/>
        </w:numPr>
        <w:jc w:val="both"/>
      </w:pPr>
      <w:r w:rsidRPr="00CB6398">
        <w:t>Osobom pełniącym funkcję przez część roku akademickiego przysługuje obniżone  pensum dydaktyczne ustalone proporcjonalnie do okresu sprawowania funkcji.</w:t>
      </w:r>
      <w:r w:rsidRPr="00CB6398">
        <w:tab/>
      </w:r>
    </w:p>
    <w:p w:rsidR="008174DC" w:rsidRPr="00CB6398" w:rsidRDefault="00C46738" w:rsidP="00EE06D1">
      <w:pPr>
        <w:pStyle w:val="Akapitzlist"/>
        <w:numPr>
          <w:ilvl w:val="0"/>
          <w:numId w:val="27"/>
        </w:numPr>
        <w:jc w:val="both"/>
      </w:pPr>
      <w:r w:rsidRPr="00CB6398">
        <w:t>Możliwość ustalenia obniżonego pensum dydaktycznego dotyczy wyłącznie nauczycieli akademickich, niezależnie od sprawowanej funkcji, dla których Politechnika Wrocławska  jest podstawowym miejscem pracy.”;</w:t>
      </w:r>
    </w:p>
    <w:p w:rsidR="008174DC" w:rsidRPr="00CB6398" w:rsidRDefault="00402077" w:rsidP="00CB6398">
      <w:pPr>
        <w:numPr>
          <w:ilvl w:val="0"/>
          <w:numId w:val="26"/>
        </w:numPr>
        <w:spacing w:before="120"/>
        <w:ind w:left="714" w:hanging="357"/>
        <w:jc w:val="both"/>
        <w:rPr>
          <w:color w:val="262626"/>
        </w:rPr>
      </w:pPr>
      <w:r w:rsidRPr="00CB6398">
        <w:rPr>
          <w:color w:val="262626"/>
        </w:rPr>
        <w:t>w</w:t>
      </w:r>
      <w:r w:rsidR="00EF08D5" w:rsidRPr="00CB6398">
        <w:rPr>
          <w:color w:val="262626"/>
        </w:rPr>
        <w:t>prowadza</w:t>
      </w:r>
      <w:r w:rsidR="008174DC" w:rsidRPr="00CB6398">
        <w:rPr>
          <w:color w:val="262626"/>
        </w:rPr>
        <w:t xml:space="preserve"> się </w:t>
      </w:r>
      <w:r w:rsidR="00C46738" w:rsidRPr="00CB6398">
        <w:rPr>
          <w:color w:val="262626"/>
        </w:rPr>
        <w:t xml:space="preserve">załącznik nr 6 </w:t>
      </w:r>
      <w:r w:rsidR="00EF08D5" w:rsidRPr="00CB6398">
        <w:rPr>
          <w:color w:val="262626"/>
        </w:rPr>
        <w:t>do Regulaminu pracy, którego treść stanowi załącznik nr</w:t>
      </w:r>
      <w:r w:rsidR="00C46664">
        <w:rPr>
          <w:color w:val="262626"/>
        </w:rPr>
        <w:t> </w:t>
      </w:r>
      <w:r w:rsidR="00EF08D5" w:rsidRPr="00CB6398">
        <w:rPr>
          <w:color w:val="262626"/>
        </w:rPr>
        <w:t xml:space="preserve">1 do niniejszego </w:t>
      </w:r>
      <w:r w:rsidR="00595E3C">
        <w:rPr>
          <w:color w:val="262626"/>
        </w:rPr>
        <w:t>Z</w:t>
      </w:r>
      <w:r w:rsidR="00EF08D5" w:rsidRPr="00CB6398">
        <w:rPr>
          <w:color w:val="262626"/>
        </w:rPr>
        <w:t>arządzenia</w:t>
      </w:r>
      <w:r w:rsidRPr="00CB6398">
        <w:rPr>
          <w:color w:val="262626"/>
        </w:rPr>
        <w:t>;</w:t>
      </w:r>
    </w:p>
    <w:p w:rsidR="00EF08D5" w:rsidRPr="00CB6398" w:rsidRDefault="00402077" w:rsidP="00CB6398">
      <w:pPr>
        <w:numPr>
          <w:ilvl w:val="0"/>
          <w:numId w:val="26"/>
        </w:numPr>
        <w:spacing w:before="120"/>
        <w:ind w:left="714" w:hanging="357"/>
        <w:jc w:val="both"/>
        <w:rPr>
          <w:color w:val="262626"/>
        </w:rPr>
      </w:pPr>
      <w:r w:rsidRPr="00CB6398">
        <w:rPr>
          <w:color w:val="262626"/>
        </w:rPr>
        <w:t>w</w:t>
      </w:r>
      <w:r w:rsidR="00EF08D5" w:rsidRPr="00CB6398">
        <w:rPr>
          <w:color w:val="262626"/>
        </w:rPr>
        <w:t>prowadza się załącznik nr 7 do Regulaminu pracy, którego treść stanowi załącznik nr</w:t>
      </w:r>
      <w:r w:rsidR="00C46664">
        <w:rPr>
          <w:color w:val="262626"/>
        </w:rPr>
        <w:t> </w:t>
      </w:r>
      <w:r w:rsidR="00EF08D5" w:rsidRPr="00CB6398">
        <w:rPr>
          <w:color w:val="262626"/>
        </w:rPr>
        <w:t xml:space="preserve">2 do niniejszego </w:t>
      </w:r>
      <w:r w:rsidR="00595E3C">
        <w:rPr>
          <w:color w:val="262626"/>
        </w:rPr>
        <w:t>Z</w:t>
      </w:r>
      <w:r w:rsidR="00EF08D5" w:rsidRPr="00CB6398">
        <w:rPr>
          <w:color w:val="262626"/>
        </w:rPr>
        <w:t>arządzenia.</w:t>
      </w:r>
    </w:p>
    <w:p w:rsidR="00A417DA" w:rsidRPr="00CB6398" w:rsidRDefault="00A417DA" w:rsidP="00CB6398">
      <w:pPr>
        <w:spacing w:before="240"/>
        <w:jc w:val="center"/>
      </w:pPr>
      <w:r w:rsidRPr="00CB6398">
        <w:t>§ 2</w:t>
      </w:r>
    </w:p>
    <w:p w:rsidR="00A417DA" w:rsidRPr="00CB6398" w:rsidRDefault="00A417DA" w:rsidP="00EE06D1">
      <w:pPr>
        <w:jc w:val="both"/>
      </w:pPr>
      <w:r w:rsidRPr="00CB6398">
        <w:rPr>
          <w:color w:val="262626"/>
        </w:rPr>
        <w:t xml:space="preserve">Jeżeli  terminy wskazane w załączniku nr 6 do Regulaminu pracy w </w:t>
      </w:r>
      <w:r w:rsidRPr="00CB6398">
        <w:t>§ 9 ust.1 pkt 1-5 przypadają na dzień wolny od pracy, ustala się, że terminem obowiązującym jest pierwszy dzień roboczy po tym dniu.</w:t>
      </w:r>
    </w:p>
    <w:p w:rsidR="00402077" w:rsidRPr="00CB6398" w:rsidRDefault="00402077" w:rsidP="00CB6398">
      <w:pPr>
        <w:spacing w:before="240"/>
        <w:jc w:val="center"/>
      </w:pPr>
      <w:bookmarkStart w:id="1" w:name="_Hlk99023955"/>
      <w:r w:rsidRPr="00CB6398">
        <w:t xml:space="preserve">§ </w:t>
      </w:r>
      <w:r w:rsidR="00A417DA" w:rsidRPr="00CB6398">
        <w:t>3</w:t>
      </w:r>
    </w:p>
    <w:bookmarkEnd w:id="1"/>
    <w:p w:rsidR="00FB7ADE" w:rsidRPr="009C0DF8" w:rsidRDefault="00FB7ADE" w:rsidP="009C0DF8">
      <w:pPr>
        <w:jc w:val="both"/>
        <w:rPr>
          <w:color w:val="262626"/>
        </w:rPr>
      </w:pPr>
      <w:r w:rsidRPr="009C0DF8">
        <w:rPr>
          <w:color w:val="262626"/>
        </w:rPr>
        <w:t>Ulegają zmianie zapisy:</w:t>
      </w:r>
    </w:p>
    <w:p w:rsidR="009C0DF8" w:rsidRDefault="009C0DF8" w:rsidP="00043F97">
      <w:pPr>
        <w:pStyle w:val="Akapitzlist"/>
        <w:numPr>
          <w:ilvl w:val="0"/>
          <w:numId w:val="49"/>
        </w:numPr>
        <w:jc w:val="both"/>
        <w:rPr>
          <w:color w:val="262626"/>
        </w:rPr>
      </w:pPr>
      <w:bookmarkStart w:id="2" w:name="_Hlk99087116"/>
      <w:r w:rsidRPr="00FB7ADE">
        <w:rPr>
          <w:color w:val="262626"/>
        </w:rPr>
        <w:t>załącznika do Zarządzenia Wewnętrznego 111/2021</w:t>
      </w:r>
      <w:r w:rsidRPr="00CB6398">
        <w:t xml:space="preserve"> z dnia 15 września 2021 r</w:t>
      </w:r>
      <w:r>
        <w:t>oku</w:t>
      </w:r>
      <w:r w:rsidRPr="00CB6398">
        <w:t xml:space="preserve"> </w:t>
      </w:r>
      <w:r w:rsidRPr="00FB7ADE">
        <w:rPr>
          <w:i/>
        </w:rPr>
        <w:t>w</w:t>
      </w:r>
      <w:r>
        <w:rPr>
          <w:i/>
        </w:rPr>
        <w:t> </w:t>
      </w:r>
      <w:r w:rsidRPr="00FB7ADE">
        <w:rPr>
          <w:i/>
        </w:rPr>
        <w:t xml:space="preserve">sprawie zmian w Regulaminie pracy Politechniki Wrocławskiej (zmiana ZW 66/2019 z </w:t>
      </w:r>
      <w:proofErr w:type="spellStart"/>
      <w:r w:rsidRPr="00FB7ADE">
        <w:rPr>
          <w:i/>
        </w:rPr>
        <w:t>późn</w:t>
      </w:r>
      <w:proofErr w:type="spellEnd"/>
      <w:r w:rsidRPr="00FB7ADE">
        <w:rPr>
          <w:i/>
        </w:rPr>
        <w:t>. zm.)</w:t>
      </w:r>
      <w:r>
        <w:t xml:space="preserve"> </w:t>
      </w:r>
      <w:r w:rsidRPr="00CB6398">
        <w:t xml:space="preserve">w zakresie określonym niniejszym </w:t>
      </w:r>
      <w:r>
        <w:t>Z</w:t>
      </w:r>
      <w:r w:rsidRPr="00CB6398">
        <w:t>arządzeniem</w:t>
      </w:r>
      <w:r>
        <w:t>;</w:t>
      </w:r>
    </w:p>
    <w:p w:rsidR="00FB7ADE" w:rsidRDefault="00FB7ADE" w:rsidP="00043F97">
      <w:pPr>
        <w:pStyle w:val="Akapitzlist"/>
        <w:numPr>
          <w:ilvl w:val="0"/>
          <w:numId w:val="49"/>
        </w:numPr>
        <w:jc w:val="both"/>
        <w:rPr>
          <w:color w:val="262626"/>
        </w:rPr>
      </w:pPr>
      <w:r w:rsidRPr="00FB7ADE">
        <w:rPr>
          <w:color w:val="262626"/>
        </w:rPr>
        <w:t xml:space="preserve">Regulaminu </w:t>
      </w:r>
      <w:proofErr w:type="spellStart"/>
      <w:r w:rsidRPr="00FB7ADE">
        <w:rPr>
          <w:color w:val="262626"/>
        </w:rPr>
        <w:t>Academia</w:t>
      </w:r>
      <w:proofErr w:type="spellEnd"/>
      <w:r w:rsidRPr="00FB7ADE">
        <w:rPr>
          <w:color w:val="262626"/>
        </w:rPr>
        <w:t xml:space="preserve"> </w:t>
      </w:r>
      <w:proofErr w:type="spellStart"/>
      <w:r w:rsidRPr="00FB7ADE">
        <w:rPr>
          <w:color w:val="262626"/>
        </w:rPr>
        <w:t>Iuvenum</w:t>
      </w:r>
      <w:proofErr w:type="spellEnd"/>
      <w:r w:rsidRPr="00FB7ADE">
        <w:rPr>
          <w:color w:val="262626"/>
        </w:rPr>
        <w:t xml:space="preserve"> Politechniki Wrocławskiej zawartego w załączniku do</w:t>
      </w:r>
      <w:r w:rsidR="009C0DF8">
        <w:rPr>
          <w:color w:val="262626"/>
        </w:rPr>
        <w:t> </w:t>
      </w:r>
      <w:r w:rsidRPr="00FB7ADE">
        <w:rPr>
          <w:color w:val="262626"/>
        </w:rPr>
        <w:t>Zarządzenia Wewnętrznego 53/2021 z dnia 31 marca 2021 r</w:t>
      </w:r>
      <w:r w:rsidR="004A7300">
        <w:rPr>
          <w:color w:val="262626"/>
        </w:rPr>
        <w:t>oku</w:t>
      </w:r>
      <w:r>
        <w:rPr>
          <w:color w:val="262626"/>
        </w:rPr>
        <w:t xml:space="preserve"> </w:t>
      </w:r>
      <w:r w:rsidRPr="00FB7ADE">
        <w:rPr>
          <w:i/>
          <w:color w:val="262626"/>
        </w:rPr>
        <w:t xml:space="preserve">w sprawie powołania </w:t>
      </w:r>
      <w:proofErr w:type="spellStart"/>
      <w:r w:rsidRPr="00FB7ADE">
        <w:rPr>
          <w:i/>
          <w:color w:val="262626"/>
        </w:rPr>
        <w:t>Academia</w:t>
      </w:r>
      <w:proofErr w:type="spellEnd"/>
      <w:r w:rsidRPr="00FB7ADE">
        <w:rPr>
          <w:i/>
          <w:color w:val="262626"/>
        </w:rPr>
        <w:t xml:space="preserve"> </w:t>
      </w:r>
      <w:proofErr w:type="spellStart"/>
      <w:r w:rsidRPr="00FB7ADE">
        <w:rPr>
          <w:i/>
          <w:color w:val="262626"/>
        </w:rPr>
        <w:t>Iuvenum</w:t>
      </w:r>
      <w:proofErr w:type="spellEnd"/>
      <w:r w:rsidRPr="00FB7ADE">
        <w:rPr>
          <w:i/>
          <w:color w:val="262626"/>
        </w:rPr>
        <w:t xml:space="preserve"> w Politechnice Wrocławskiej</w:t>
      </w:r>
      <w:r>
        <w:rPr>
          <w:color w:val="262626"/>
        </w:rPr>
        <w:t xml:space="preserve"> – aktualna treść ww.</w:t>
      </w:r>
      <w:r w:rsidR="004A7300">
        <w:rPr>
          <w:color w:val="262626"/>
        </w:rPr>
        <w:t> </w:t>
      </w:r>
      <w:r>
        <w:rPr>
          <w:color w:val="262626"/>
        </w:rPr>
        <w:t>regulaminu zawarta jest w załączniku nr 1 do niniejszego Zarządzenia</w:t>
      </w:r>
      <w:bookmarkEnd w:id="2"/>
      <w:r>
        <w:rPr>
          <w:color w:val="262626"/>
        </w:rPr>
        <w:t>;</w:t>
      </w:r>
    </w:p>
    <w:p w:rsidR="00FB7ADE" w:rsidRPr="00595E3C" w:rsidRDefault="00FB7ADE" w:rsidP="00595E3C">
      <w:pPr>
        <w:pStyle w:val="Akapitzlist"/>
        <w:numPr>
          <w:ilvl w:val="0"/>
          <w:numId w:val="49"/>
        </w:numPr>
        <w:jc w:val="both"/>
        <w:rPr>
          <w:color w:val="262626"/>
        </w:rPr>
      </w:pPr>
      <w:r w:rsidRPr="00595E3C">
        <w:rPr>
          <w:color w:val="262626"/>
        </w:rPr>
        <w:t>R</w:t>
      </w:r>
      <w:r w:rsidRPr="00FB7ADE">
        <w:rPr>
          <w:color w:val="262626"/>
        </w:rPr>
        <w:t xml:space="preserve">egulaminu programu </w:t>
      </w:r>
      <w:proofErr w:type="spellStart"/>
      <w:r w:rsidRPr="00FB7ADE">
        <w:rPr>
          <w:color w:val="262626"/>
        </w:rPr>
        <w:t>Tertius</w:t>
      </w:r>
      <w:proofErr w:type="spellEnd"/>
      <w:r w:rsidRPr="00FB7ADE">
        <w:rPr>
          <w:color w:val="262626"/>
        </w:rPr>
        <w:t xml:space="preserve"> zawartego w załączni</w:t>
      </w:r>
      <w:bookmarkStart w:id="3" w:name="_GoBack"/>
      <w:bookmarkEnd w:id="3"/>
      <w:r w:rsidRPr="00FB7ADE">
        <w:rPr>
          <w:color w:val="262626"/>
        </w:rPr>
        <w:t>ku do Zarządzenia Wewnętrznego 125/2020 z dnia 21 grudnia 202</w:t>
      </w:r>
      <w:r w:rsidR="004A7300">
        <w:rPr>
          <w:color w:val="262626"/>
        </w:rPr>
        <w:t>0</w:t>
      </w:r>
      <w:r w:rsidRPr="00FB7ADE">
        <w:rPr>
          <w:color w:val="262626"/>
        </w:rPr>
        <w:t xml:space="preserve"> r</w:t>
      </w:r>
      <w:r w:rsidR="004A7300">
        <w:rPr>
          <w:color w:val="262626"/>
        </w:rPr>
        <w:t>oku</w:t>
      </w:r>
      <w:r w:rsidRPr="00FB7ADE">
        <w:rPr>
          <w:color w:val="262626"/>
        </w:rPr>
        <w:t xml:space="preserve"> </w:t>
      </w:r>
      <w:r w:rsidRPr="00FB7ADE">
        <w:rPr>
          <w:i/>
          <w:color w:val="262626"/>
        </w:rPr>
        <w:t>w sprawie wprowadzenia Regulaminu programu</w:t>
      </w:r>
      <w:r>
        <w:rPr>
          <w:i/>
          <w:color w:val="262626"/>
        </w:rPr>
        <w:t xml:space="preserve"> </w:t>
      </w:r>
      <w:proofErr w:type="spellStart"/>
      <w:r w:rsidRPr="00595E3C">
        <w:rPr>
          <w:i/>
          <w:color w:val="262626"/>
        </w:rPr>
        <w:t>Tertius</w:t>
      </w:r>
      <w:proofErr w:type="spellEnd"/>
      <w:r w:rsidRPr="00595E3C">
        <w:rPr>
          <w:i/>
          <w:color w:val="262626"/>
        </w:rPr>
        <w:t xml:space="preserve"> w Politechnice Wrocławskiej</w:t>
      </w:r>
      <w:r w:rsidRPr="00FB7ADE">
        <w:rPr>
          <w:i/>
          <w:color w:val="262626"/>
        </w:rPr>
        <w:t xml:space="preserve"> </w:t>
      </w:r>
      <w:r w:rsidRPr="00FB7ADE">
        <w:rPr>
          <w:color w:val="262626"/>
        </w:rPr>
        <w:t>– aktualna treść ww. regulaminu zawarta jest w</w:t>
      </w:r>
      <w:r w:rsidR="009C0DF8">
        <w:rPr>
          <w:color w:val="262626"/>
        </w:rPr>
        <w:t> </w:t>
      </w:r>
      <w:r w:rsidRPr="00FB7ADE">
        <w:rPr>
          <w:color w:val="262626"/>
        </w:rPr>
        <w:t xml:space="preserve">załączniku nr </w:t>
      </w:r>
      <w:r w:rsidR="00595E3C">
        <w:rPr>
          <w:color w:val="262626"/>
        </w:rPr>
        <w:t>2</w:t>
      </w:r>
      <w:r w:rsidRPr="00595E3C">
        <w:rPr>
          <w:color w:val="262626"/>
        </w:rPr>
        <w:t xml:space="preserve"> do </w:t>
      </w:r>
      <w:r w:rsidRPr="00FB7ADE">
        <w:rPr>
          <w:color w:val="262626"/>
        </w:rPr>
        <w:t>niniejszego Zarządzenia</w:t>
      </w:r>
      <w:r w:rsidR="00595E3C">
        <w:rPr>
          <w:color w:val="262626"/>
        </w:rPr>
        <w:t>.</w:t>
      </w:r>
    </w:p>
    <w:p w:rsidR="00F43BAD" w:rsidRPr="00CB6398" w:rsidRDefault="003D6114" w:rsidP="00CB6398">
      <w:pPr>
        <w:spacing w:before="240"/>
        <w:jc w:val="center"/>
      </w:pPr>
      <w:r w:rsidRPr="00CB6398">
        <w:t xml:space="preserve">§ </w:t>
      </w:r>
      <w:r w:rsidR="00A417DA" w:rsidRPr="00CB6398">
        <w:t>4</w:t>
      </w:r>
    </w:p>
    <w:p w:rsidR="00736E11" w:rsidRPr="00CB6398" w:rsidRDefault="00F43BAD" w:rsidP="00EE06D1">
      <w:pPr>
        <w:pStyle w:val="Akapitzlist"/>
        <w:ind w:left="0"/>
      </w:pPr>
      <w:r w:rsidRPr="00CB6398">
        <w:t>Zarządzenie wch</w:t>
      </w:r>
      <w:r w:rsidR="00413777" w:rsidRPr="00CB6398">
        <w:t>odzi w życie z dnie</w:t>
      </w:r>
      <w:r w:rsidR="008E5779" w:rsidRPr="00CB6398">
        <w:t xml:space="preserve">m </w:t>
      </w:r>
      <w:r w:rsidR="00684FCF" w:rsidRPr="00CB6398">
        <w:t>11 kwietnia 2022 r</w:t>
      </w:r>
      <w:r w:rsidR="00C46664">
        <w:t>oku.</w:t>
      </w:r>
    </w:p>
    <w:p w:rsidR="00492D1D" w:rsidRPr="00CB6398" w:rsidRDefault="00492D1D" w:rsidP="00595E3C">
      <w:pPr>
        <w:spacing w:before="1080"/>
        <w:ind w:left="4956" w:firstLine="709"/>
      </w:pPr>
      <w:r w:rsidRPr="00CB6398">
        <w:rPr>
          <w:lang w:val="de-DE"/>
        </w:rPr>
        <w:t>Pro</w:t>
      </w:r>
      <w:r w:rsidR="00516728" w:rsidRPr="00CB6398">
        <w:rPr>
          <w:lang w:val="de-DE"/>
        </w:rPr>
        <w:t xml:space="preserve">f. </w:t>
      </w:r>
      <w:proofErr w:type="spellStart"/>
      <w:r w:rsidR="00516728" w:rsidRPr="00CB6398">
        <w:rPr>
          <w:lang w:val="de-DE"/>
        </w:rPr>
        <w:t>dr</w:t>
      </w:r>
      <w:proofErr w:type="spellEnd"/>
      <w:r w:rsidR="00516728" w:rsidRPr="00CB6398">
        <w:rPr>
          <w:lang w:val="de-DE"/>
        </w:rPr>
        <w:t xml:space="preserve"> hab. </w:t>
      </w:r>
      <w:proofErr w:type="spellStart"/>
      <w:r w:rsidR="00516728" w:rsidRPr="00CB6398">
        <w:rPr>
          <w:lang w:val="de-DE"/>
        </w:rPr>
        <w:t>inż</w:t>
      </w:r>
      <w:proofErr w:type="spellEnd"/>
      <w:r w:rsidR="00516728" w:rsidRPr="00CB6398">
        <w:rPr>
          <w:lang w:val="de-DE"/>
        </w:rPr>
        <w:t xml:space="preserve">. </w:t>
      </w:r>
      <w:r w:rsidR="008174DC" w:rsidRPr="00CB6398">
        <w:rPr>
          <w:lang w:val="de-DE"/>
        </w:rPr>
        <w:t>Arkadiusz Wójs</w:t>
      </w:r>
    </w:p>
    <w:sectPr w:rsidR="00492D1D" w:rsidRPr="00CB6398" w:rsidSect="00595E3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E2C" w:rsidRDefault="00274E2C">
      <w:r>
        <w:separator/>
      </w:r>
    </w:p>
  </w:endnote>
  <w:endnote w:type="continuationSeparator" w:id="0">
    <w:p w:rsidR="00274E2C" w:rsidRDefault="002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Con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0630FD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0630FD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F63642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F63642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E2C" w:rsidRDefault="00274E2C">
      <w:r>
        <w:separator/>
      </w:r>
    </w:p>
  </w:footnote>
  <w:footnote w:type="continuationSeparator" w:id="0">
    <w:p w:rsidR="00274E2C" w:rsidRDefault="0027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Default="003E36F1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3450"/>
          <wp:effectExtent l="0" t="0" r="0" b="0"/>
          <wp:docPr id="5" name="Obraz 5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A5F4B"/>
    <w:multiLevelType w:val="hybridMultilevel"/>
    <w:tmpl w:val="099A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D8C787D"/>
    <w:multiLevelType w:val="hybridMultilevel"/>
    <w:tmpl w:val="3D38E05E"/>
    <w:lvl w:ilvl="0" w:tplc="F386E81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1714"/>
    <w:multiLevelType w:val="hybridMultilevel"/>
    <w:tmpl w:val="01E051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72A29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B143C"/>
    <w:multiLevelType w:val="hybridMultilevel"/>
    <w:tmpl w:val="37D42AC6"/>
    <w:lvl w:ilvl="0" w:tplc="72629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F2668"/>
    <w:multiLevelType w:val="hybridMultilevel"/>
    <w:tmpl w:val="A9A80C94"/>
    <w:lvl w:ilvl="0" w:tplc="2E76CB5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7EE0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2AA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5747C"/>
    <w:multiLevelType w:val="hybridMultilevel"/>
    <w:tmpl w:val="579A1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38AA"/>
    <w:multiLevelType w:val="hybridMultilevel"/>
    <w:tmpl w:val="3886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D76F2"/>
    <w:multiLevelType w:val="hybridMultilevel"/>
    <w:tmpl w:val="9618B466"/>
    <w:lvl w:ilvl="0" w:tplc="A636DD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A00A9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7CA7"/>
    <w:multiLevelType w:val="hybridMultilevel"/>
    <w:tmpl w:val="5A9E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570EB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33C78"/>
    <w:multiLevelType w:val="hybridMultilevel"/>
    <w:tmpl w:val="1524812A"/>
    <w:lvl w:ilvl="0" w:tplc="C34E34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665983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7275725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C4587"/>
    <w:multiLevelType w:val="hybridMultilevel"/>
    <w:tmpl w:val="2F704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14153"/>
    <w:multiLevelType w:val="multilevel"/>
    <w:tmpl w:val="B704C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380203"/>
    <w:multiLevelType w:val="hybridMultilevel"/>
    <w:tmpl w:val="F0D02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906EB"/>
    <w:multiLevelType w:val="hybridMultilevel"/>
    <w:tmpl w:val="2C065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75EA"/>
    <w:multiLevelType w:val="hybridMultilevel"/>
    <w:tmpl w:val="B25AB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E760B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45C1D"/>
    <w:multiLevelType w:val="hybridMultilevel"/>
    <w:tmpl w:val="F75C34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9308D9"/>
    <w:multiLevelType w:val="hybridMultilevel"/>
    <w:tmpl w:val="95AA0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60CBE"/>
    <w:multiLevelType w:val="hybridMultilevel"/>
    <w:tmpl w:val="6C383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A423E7"/>
    <w:multiLevelType w:val="hybridMultilevel"/>
    <w:tmpl w:val="AF083F7C"/>
    <w:lvl w:ilvl="0" w:tplc="C69E2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907052"/>
    <w:multiLevelType w:val="hybridMultilevel"/>
    <w:tmpl w:val="1AB052B2"/>
    <w:lvl w:ilvl="0" w:tplc="E3A844E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225625"/>
    <w:multiLevelType w:val="hybridMultilevel"/>
    <w:tmpl w:val="0CA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26E04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4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62C61"/>
    <w:multiLevelType w:val="hybridMultilevel"/>
    <w:tmpl w:val="DADE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0E5F"/>
    <w:multiLevelType w:val="hybridMultilevel"/>
    <w:tmpl w:val="294C9A3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F1064"/>
    <w:multiLevelType w:val="hybridMultilevel"/>
    <w:tmpl w:val="226C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E25E3"/>
    <w:multiLevelType w:val="hybridMultilevel"/>
    <w:tmpl w:val="3D72BB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7768CC"/>
    <w:multiLevelType w:val="hybridMultilevel"/>
    <w:tmpl w:val="31D6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159DE"/>
    <w:multiLevelType w:val="hybridMultilevel"/>
    <w:tmpl w:val="DB46B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7"/>
  </w:num>
  <w:num w:numId="4">
    <w:abstractNumId w:val="0"/>
  </w:num>
  <w:num w:numId="5">
    <w:abstractNumId w:val="5"/>
  </w:num>
  <w:num w:numId="6">
    <w:abstractNumId w:val="40"/>
  </w:num>
  <w:num w:numId="7">
    <w:abstractNumId w:val="39"/>
  </w:num>
  <w:num w:numId="8">
    <w:abstractNumId w:val="2"/>
  </w:num>
  <w:num w:numId="9">
    <w:abstractNumId w:val="22"/>
  </w:num>
  <w:num w:numId="10">
    <w:abstractNumId w:val="26"/>
  </w:num>
  <w:num w:numId="11">
    <w:abstractNumId w:val="42"/>
  </w:num>
  <w:num w:numId="12">
    <w:abstractNumId w:val="32"/>
  </w:num>
  <w:num w:numId="13">
    <w:abstractNumId w:val="44"/>
  </w:num>
  <w:num w:numId="14">
    <w:abstractNumId w:val="19"/>
  </w:num>
  <w:num w:numId="15">
    <w:abstractNumId w:val="3"/>
  </w:num>
  <w:num w:numId="16">
    <w:abstractNumId w:val="27"/>
  </w:num>
  <w:num w:numId="17">
    <w:abstractNumId w:val="29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3"/>
  </w:num>
  <w:num w:numId="23">
    <w:abstractNumId w:val="4"/>
  </w:num>
  <w:num w:numId="24">
    <w:abstractNumId w:val="14"/>
  </w:num>
  <w:num w:numId="25">
    <w:abstractNumId w:val="14"/>
  </w:num>
  <w:num w:numId="26">
    <w:abstractNumId w:val="43"/>
  </w:num>
  <w:num w:numId="27">
    <w:abstractNumId w:val="34"/>
  </w:num>
  <w:num w:numId="28">
    <w:abstractNumId w:val="10"/>
  </w:num>
  <w:num w:numId="29">
    <w:abstractNumId w:val="38"/>
  </w:num>
  <w:num w:numId="30">
    <w:abstractNumId w:val="18"/>
  </w:num>
  <w:num w:numId="31">
    <w:abstractNumId w:val="15"/>
  </w:num>
  <w:num w:numId="32">
    <w:abstractNumId w:val="7"/>
  </w:num>
  <w:num w:numId="33">
    <w:abstractNumId w:val="6"/>
  </w:num>
  <w:num w:numId="34">
    <w:abstractNumId w:val="16"/>
  </w:num>
  <w:num w:numId="35">
    <w:abstractNumId w:val="17"/>
  </w:num>
  <w:num w:numId="36">
    <w:abstractNumId w:val="23"/>
  </w:num>
  <w:num w:numId="37">
    <w:abstractNumId w:val="30"/>
  </w:num>
  <w:num w:numId="38">
    <w:abstractNumId w:val="11"/>
  </w:num>
  <w:num w:numId="39">
    <w:abstractNumId w:val="21"/>
  </w:num>
  <w:num w:numId="40">
    <w:abstractNumId w:val="35"/>
  </w:num>
  <w:num w:numId="41">
    <w:abstractNumId w:val="36"/>
  </w:num>
  <w:num w:numId="42">
    <w:abstractNumId w:val="45"/>
  </w:num>
  <w:num w:numId="43">
    <w:abstractNumId w:val="8"/>
  </w:num>
  <w:num w:numId="44">
    <w:abstractNumId w:val="41"/>
  </w:num>
  <w:num w:numId="45">
    <w:abstractNumId w:val="28"/>
  </w:num>
  <w:num w:numId="46">
    <w:abstractNumId w:val="31"/>
  </w:num>
  <w:num w:numId="47">
    <w:abstractNumId w:val="12"/>
  </w:num>
  <w:num w:numId="48">
    <w:abstractNumId w:val="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1E9E"/>
    <w:rsid w:val="00004943"/>
    <w:rsid w:val="00004E1B"/>
    <w:rsid w:val="00040D90"/>
    <w:rsid w:val="00042979"/>
    <w:rsid w:val="000630FD"/>
    <w:rsid w:val="00072642"/>
    <w:rsid w:val="00087B18"/>
    <w:rsid w:val="000B0297"/>
    <w:rsid w:val="000C15D0"/>
    <w:rsid w:val="000D5221"/>
    <w:rsid w:val="000E3D17"/>
    <w:rsid w:val="000E572A"/>
    <w:rsid w:val="000F4417"/>
    <w:rsid w:val="000F4F43"/>
    <w:rsid w:val="0013585F"/>
    <w:rsid w:val="00161B95"/>
    <w:rsid w:val="00164CA3"/>
    <w:rsid w:val="00167543"/>
    <w:rsid w:val="00185135"/>
    <w:rsid w:val="00185BC5"/>
    <w:rsid w:val="0019380B"/>
    <w:rsid w:val="001A6F17"/>
    <w:rsid w:val="001B5F13"/>
    <w:rsid w:val="001C3DC2"/>
    <w:rsid w:val="001C4A6D"/>
    <w:rsid w:val="001C5C24"/>
    <w:rsid w:val="001D2410"/>
    <w:rsid w:val="001D2524"/>
    <w:rsid w:val="001D3C4B"/>
    <w:rsid w:val="001D5AAC"/>
    <w:rsid w:val="001F7FEE"/>
    <w:rsid w:val="00204CC7"/>
    <w:rsid w:val="00205C47"/>
    <w:rsid w:val="0022402C"/>
    <w:rsid w:val="0024584C"/>
    <w:rsid w:val="00251DB4"/>
    <w:rsid w:val="00267702"/>
    <w:rsid w:val="00274E2C"/>
    <w:rsid w:val="002842F4"/>
    <w:rsid w:val="00284E9F"/>
    <w:rsid w:val="002851D0"/>
    <w:rsid w:val="00291329"/>
    <w:rsid w:val="00291491"/>
    <w:rsid w:val="002A7BBC"/>
    <w:rsid w:val="002B2D30"/>
    <w:rsid w:val="002C409D"/>
    <w:rsid w:val="002C4FC6"/>
    <w:rsid w:val="002C7E50"/>
    <w:rsid w:val="002E1FCB"/>
    <w:rsid w:val="002E593D"/>
    <w:rsid w:val="002E5E63"/>
    <w:rsid w:val="002F0928"/>
    <w:rsid w:val="003123F2"/>
    <w:rsid w:val="00317AEB"/>
    <w:rsid w:val="00331025"/>
    <w:rsid w:val="00332F55"/>
    <w:rsid w:val="003345AA"/>
    <w:rsid w:val="003363C1"/>
    <w:rsid w:val="003475EF"/>
    <w:rsid w:val="003743C0"/>
    <w:rsid w:val="00396CD2"/>
    <w:rsid w:val="003A006A"/>
    <w:rsid w:val="003B1731"/>
    <w:rsid w:val="003B5DFF"/>
    <w:rsid w:val="003C50C3"/>
    <w:rsid w:val="003D13DC"/>
    <w:rsid w:val="003D541D"/>
    <w:rsid w:val="003D6098"/>
    <w:rsid w:val="003D6114"/>
    <w:rsid w:val="003E184A"/>
    <w:rsid w:val="003E36F1"/>
    <w:rsid w:val="00402077"/>
    <w:rsid w:val="00413777"/>
    <w:rsid w:val="004364DF"/>
    <w:rsid w:val="00446E12"/>
    <w:rsid w:val="00473CF5"/>
    <w:rsid w:val="004744BA"/>
    <w:rsid w:val="0049208D"/>
    <w:rsid w:val="00492D1D"/>
    <w:rsid w:val="00493358"/>
    <w:rsid w:val="004A1838"/>
    <w:rsid w:val="004A4C48"/>
    <w:rsid w:val="004A7300"/>
    <w:rsid w:val="004B10CF"/>
    <w:rsid w:val="004C2744"/>
    <w:rsid w:val="004C4CB6"/>
    <w:rsid w:val="004D6700"/>
    <w:rsid w:val="004F2B41"/>
    <w:rsid w:val="004F3135"/>
    <w:rsid w:val="004F4335"/>
    <w:rsid w:val="00506078"/>
    <w:rsid w:val="00506C67"/>
    <w:rsid w:val="00516728"/>
    <w:rsid w:val="005175AC"/>
    <w:rsid w:val="00525857"/>
    <w:rsid w:val="0052636F"/>
    <w:rsid w:val="0053115B"/>
    <w:rsid w:val="00532E64"/>
    <w:rsid w:val="00562548"/>
    <w:rsid w:val="005639F1"/>
    <w:rsid w:val="00563E12"/>
    <w:rsid w:val="00567F56"/>
    <w:rsid w:val="00592159"/>
    <w:rsid w:val="00595E3C"/>
    <w:rsid w:val="005A622D"/>
    <w:rsid w:val="005B2F01"/>
    <w:rsid w:val="005C102E"/>
    <w:rsid w:val="005C2658"/>
    <w:rsid w:val="005C403F"/>
    <w:rsid w:val="005E79F9"/>
    <w:rsid w:val="005F23A1"/>
    <w:rsid w:val="005F5241"/>
    <w:rsid w:val="0060686F"/>
    <w:rsid w:val="00612E6E"/>
    <w:rsid w:val="006222CD"/>
    <w:rsid w:val="00626231"/>
    <w:rsid w:val="006263F0"/>
    <w:rsid w:val="00642CD8"/>
    <w:rsid w:val="006503AF"/>
    <w:rsid w:val="006607E7"/>
    <w:rsid w:val="00677B11"/>
    <w:rsid w:val="00684FCF"/>
    <w:rsid w:val="006A5BD4"/>
    <w:rsid w:val="006A62A2"/>
    <w:rsid w:val="006B0954"/>
    <w:rsid w:val="006C0645"/>
    <w:rsid w:val="006F1928"/>
    <w:rsid w:val="006F1F90"/>
    <w:rsid w:val="006F6558"/>
    <w:rsid w:val="007143E5"/>
    <w:rsid w:val="00722F60"/>
    <w:rsid w:val="00736E11"/>
    <w:rsid w:val="00752424"/>
    <w:rsid w:val="007562DC"/>
    <w:rsid w:val="007641D8"/>
    <w:rsid w:val="00767B60"/>
    <w:rsid w:val="00793D01"/>
    <w:rsid w:val="007A60B0"/>
    <w:rsid w:val="007A631B"/>
    <w:rsid w:val="007B64A7"/>
    <w:rsid w:val="007C68CF"/>
    <w:rsid w:val="007D1853"/>
    <w:rsid w:val="007D6130"/>
    <w:rsid w:val="007E5A93"/>
    <w:rsid w:val="007F764A"/>
    <w:rsid w:val="00803FD7"/>
    <w:rsid w:val="00807246"/>
    <w:rsid w:val="008079A0"/>
    <w:rsid w:val="008145E7"/>
    <w:rsid w:val="008174DC"/>
    <w:rsid w:val="0081753D"/>
    <w:rsid w:val="008233C8"/>
    <w:rsid w:val="00826268"/>
    <w:rsid w:val="00865B02"/>
    <w:rsid w:val="0086655C"/>
    <w:rsid w:val="008765D4"/>
    <w:rsid w:val="00893852"/>
    <w:rsid w:val="008B772D"/>
    <w:rsid w:val="008B7A2C"/>
    <w:rsid w:val="008D4C93"/>
    <w:rsid w:val="008E5779"/>
    <w:rsid w:val="008F57C8"/>
    <w:rsid w:val="00905462"/>
    <w:rsid w:val="009127D6"/>
    <w:rsid w:val="00913238"/>
    <w:rsid w:val="00914A9D"/>
    <w:rsid w:val="0092013A"/>
    <w:rsid w:val="00924DE6"/>
    <w:rsid w:val="00926204"/>
    <w:rsid w:val="009625AA"/>
    <w:rsid w:val="00963FFF"/>
    <w:rsid w:val="009766C3"/>
    <w:rsid w:val="00982B42"/>
    <w:rsid w:val="009931D0"/>
    <w:rsid w:val="009A5E60"/>
    <w:rsid w:val="009B51CE"/>
    <w:rsid w:val="009C0DF8"/>
    <w:rsid w:val="009C216F"/>
    <w:rsid w:val="009C2D53"/>
    <w:rsid w:val="009C5AD2"/>
    <w:rsid w:val="009D39E9"/>
    <w:rsid w:val="009D42DB"/>
    <w:rsid w:val="00A15616"/>
    <w:rsid w:val="00A3044F"/>
    <w:rsid w:val="00A32311"/>
    <w:rsid w:val="00A32C7A"/>
    <w:rsid w:val="00A330D8"/>
    <w:rsid w:val="00A417DA"/>
    <w:rsid w:val="00A447AA"/>
    <w:rsid w:val="00A5138D"/>
    <w:rsid w:val="00A62360"/>
    <w:rsid w:val="00A76B89"/>
    <w:rsid w:val="00A9066E"/>
    <w:rsid w:val="00A96E18"/>
    <w:rsid w:val="00AB75F3"/>
    <w:rsid w:val="00AB7AAF"/>
    <w:rsid w:val="00AB7DE0"/>
    <w:rsid w:val="00AC2A7C"/>
    <w:rsid w:val="00AE77AA"/>
    <w:rsid w:val="00AF04ED"/>
    <w:rsid w:val="00AF2DE5"/>
    <w:rsid w:val="00AF4F73"/>
    <w:rsid w:val="00AF7163"/>
    <w:rsid w:val="00B010B5"/>
    <w:rsid w:val="00B06423"/>
    <w:rsid w:val="00B354AA"/>
    <w:rsid w:val="00B43E1A"/>
    <w:rsid w:val="00B51367"/>
    <w:rsid w:val="00B70727"/>
    <w:rsid w:val="00B71B5E"/>
    <w:rsid w:val="00B724F0"/>
    <w:rsid w:val="00B745EB"/>
    <w:rsid w:val="00B761BA"/>
    <w:rsid w:val="00B77506"/>
    <w:rsid w:val="00BD39F5"/>
    <w:rsid w:val="00BD5A5F"/>
    <w:rsid w:val="00BD7A1D"/>
    <w:rsid w:val="00BE53C5"/>
    <w:rsid w:val="00BF0366"/>
    <w:rsid w:val="00BF28CC"/>
    <w:rsid w:val="00BF448F"/>
    <w:rsid w:val="00BF6DEE"/>
    <w:rsid w:val="00BF752E"/>
    <w:rsid w:val="00C30650"/>
    <w:rsid w:val="00C43F3A"/>
    <w:rsid w:val="00C45D8F"/>
    <w:rsid w:val="00C45F34"/>
    <w:rsid w:val="00C46664"/>
    <w:rsid w:val="00C46738"/>
    <w:rsid w:val="00C50A0A"/>
    <w:rsid w:val="00C52B3C"/>
    <w:rsid w:val="00C5371A"/>
    <w:rsid w:val="00C60EDE"/>
    <w:rsid w:val="00C65C44"/>
    <w:rsid w:val="00C73E9F"/>
    <w:rsid w:val="00CA3AE8"/>
    <w:rsid w:val="00CB1117"/>
    <w:rsid w:val="00CB6398"/>
    <w:rsid w:val="00CC07A4"/>
    <w:rsid w:val="00CC2FD2"/>
    <w:rsid w:val="00CC6305"/>
    <w:rsid w:val="00CC73C0"/>
    <w:rsid w:val="00CD76EC"/>
    <w:rsid w:val="00CD7800"/>
    <w:rsid w:val="00CE2A09"/>
    <w:rsid w:val="00D13A1C"/>
    <w:rsid w:val="00D14719"/>
    <w:rsid w:val="00D31972"/>
    <w:rsid w:val="00D34B25"/>
    <w:rsid w:val="00D405B6"/>
    <w:rsid w:val="00D43B0E"/>
    <w:rsid w:val="00D65051"/>
    <w:rsid w:val="00D77CE1"/>
    <w:rsid w:val="00D92FDE"/>
    <w:rsid w:val="00D96DD1"/>
    <w:rsid w:val="00DA6C7D"/>
    <w:rsid w:val="00DB2365"/>
    <w:rsid w:val="00DC6A04"/>
    <w:rsid w:val="00DD3FA5"/>
    <w:rsid w:val="00DD4491"/>
    <w:rsid w:val="00E02893"/>
    <w:rsid w:val="00E1267F"/>
    <w:rsid w:val="00E20052"/>
    <w:rsid w:val="00E34B72"/>
    <w:rsid w:val="00E35FA4"/>
    <w:rsid w:val="00E37784"/>
    <w:rsid w:val="00E43E42"/>
    <w:rsid w:val="00E52A90"/>
    <w:rsid w:val="00E54EF4"/>
    <w:rsid w:val="00E67F58"/>
    <w:rsid w:val="00E72DB0"/>
    <w:rsid w:val="00E84DF5"/>
    <w:rsid w:val="00EA2181"/>
    <w:rsid w:val="00EA2930"/>
    <w:rsid w:val="00EB36B6"/>
    <w:rsid w:val="00EB5EE1"/>
    <w:rsid w:val="00EC1258"/>
    <w:rsid w:val="00ED0080"/>
    <w:rsid w:val="00ED3739"/>
    <w:rsid w:val="00EE06D1"/>
    <w:rsid w:val="00EF08D5"/>
    <w:rsid w:val="00EF1EC3"/>
    <w:rsid w:val="00EF5C48"/>
    <w:rsid w:val="00F026B9"/>
    <w:rsid w:val="00F32E55"/>
    <w:rsid w:val="00F354E7"/>
    <w:rsid w:val="00F43BAD"/>
    <w:rsid w:val="00F60D6A"/>
    <w:rsid w:val="00F63642"/>
    <w:rsid w:val="00F665FF"/>
    <w:rsid w:val="00F70236"/>
    <w:rsid w:val="00F81B95"/>
    <w:rsid w:val="00F8601F"/>
    <w:rsid w:val="00F8753A"/>
    <w:rsid w:val="00FA320A"/>
    <w:rsid w:val="00FB7ADE"/>
    <w:rsid w:val="00FC2972"/>
    <w:rsid w:val="00FC4A5E"/>
    <w:rsid w:val="00FE0FAF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1A3E0"/>
  <w15:chartTrackingRefBased/>
  <w15:docId w15:val="{A6415E8E-D916-4F57-97DD-0BCBF93D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customStyle="1" w:styleId="MojTekstBW">
    <w:name w:val="MojTekstBW"/>
    <w:basedOn w:val="Normalny"/>
    <w:rsid w:val="00267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autoSpaceDE w:val="0"/>
      <w:autoSpaceDN w:val="0"/>
      <w:adjustRightInd w:val="0"/>
      <w:spacing w:line="280" w:lineRule="atLeast"/>
      <w:jc w:val="both"/>
    </w:pPr>
    <w:rPr>
      <w:rFonts w:ascii="GaramondItcTEELigCon" w:hAnsi="GaramondItcTEELigCon"/>
      <w:sz w:val="20"/>
      <w:szCs w:val="20"/>
    </w:rPr>
  </w:style>
  <w:style w:type="paragraph" w:styleId="Akapitzlist">
    <w:name w:val="List Paragraph"/>
    <w:basedOn w:val="Normalny"/>
    <w:qFormat/>
    <w:rsid w:val="00267702"/>
    <w:pPr>
      <w:ind w:left="708"/>
    </w:p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6C0645"/>
    <w:pPr>
      <w:spacing w:line="360" w:lineRule="auto"/>
      <w:ind w:left="360" w:firstLine="708"/>
      <w:jc w:val="both"/>
    </w:pPr>
    <w:rPr>
      <w:rFonts w:ascii="Garamond" w:hAnsi="Garamond"/>
    </w:rPr>
  </w:style>
  <w:style w:type="character" w:customStyle="1" w:styleId="Tekstpodstawowywcity2Znak">
    <w:name w:val="Tekst podstawowy wcięty 2 Znak"/>
    <w:link w:val="Tekstpodstawowywcity2"/>
    <w:rsid w:val="006C0645"/>
    <w:rPr>
      <w:rFonts w:ascii="Garamond" w:hAnsi="Garamond"/>
      <w:sz w:val="24"/>
      <w:szCs w:val="24"/>
    </w:rPr>
  </w:style>
  <w:style w:type="paragraph" w:styleId="Tekstdymka">
    <w:name w:val="Balloon Text"/>
    <w:basedOn w:val="Normalny"/>
    <w:link w:val="TekstdymkaZnak"/>
    <w:rsid w:val="00040D90"/>
    <w:rPr>
      <w:sz w:val="18"/>
      <w:szCs w:val="18"/>
    </w:rPr>
  </w:style>
  <w:style w:type="character" w:customStyle="1" w:styleId="TekstdymkaZnak">
    <w:name w:val="Tekst dymka Znak"/>
    <w:link w:val="Tekstdymka"/>
    <w:rsid w:val="00040D90"/>
    <w:rPr>
      <w:sz w:val="18"/>
      <w:szCs w:val="18"/>
    </w:rPr>
  </w:style>
  <w:style w:type="paragraph" w:styleId="NormalnyWeb">
    <w:name w:val="Normal (Web)"/>
    <w:basedOn w:val="Normalny"/>
    <w:uiPriority w:val="99"/>
    <w:rsid w:val="001D5A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40/2022</dc:title>
  <dc:subject/>
  <dc:creator>Tamara</dc:creator>
  <cp:keywords>regulamin pracy zmiana 2022</cp:keywords>
  <cp:lastModifiedBy>Iwona Fengler</cp:lastModifiedBy>
  <cp:revision>5</cp:revision>
  <cp:lastPrinted>2022-03-24T10:07:00Z</cp:lastPrinted>
  <dcterms:created xsi:type="dcterms:W3CDTF">2022-03-25T10:24:00Z</dcterms:created>
  <dcterms:modified xsi:type="dcterms:W3CDTF">2022-03-25T12:01:00Z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