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AAC" w:rsidRDefault="00215AAC" w:rsidP="00215AAC">
      <w:pPr>
        <w:rPr>
          <w:lang w:val="pl-PL"/>
        </w:rPr>
      </w:pPr>
      <w:bookmarkStart w:id="0" w:name="_GoBack"/>
      <w:bookmarkEnd w:id="0"/>
      <w:r w:rsidRPr="00215AAC">
        <w:rPr>
          <w:b/>
          <w:bCs/>
          <w:lang w:val="pl-PL"/>
        </w:rPr>
        <w:t>Projekt:</w:t>
      </w:r>
      <w:r>
        <w:rPr>
          <w:lang w:val="pl-PL"/>
        </w:rPr>
        <w:t xml:space="preserve"> Otwarte laboratorium wytwarzania</w:t>
      </w:r>
      <w:r w:rsidR="00E878EE">
        <w:rPr>
          <w:lang w:val="pl-PL"/>
        </w:rPr>
        <w:t>, magazynowania oraz energetycznego wykorzystania wodoru</w:t>
      </w:r>
      <w:r w:rsidR="008A6E54">
        <w:rPr>
          <w:lang w:val="pl-PL"/>
        </w:rPr>
        <w:t xml:space="preserve"> </w:t>
      </w:r>
    </w:p>
    <w:p w:rsidR="00215AAC" w:rsidRDefault="00215AAC" w:rsidP="00215AAC">
      <w:pPr>
        <w:rPr>
          <w:lang w:val="pl-PL"/>
        </w:rPr>
      </w:pPr>
      <w:r w:rsidRPr="00215AAC">
        <w:rPr>
          <w:b/>
          <w:bCs/>
          <w:lang w:val="pl-PL"/>
        </w:rPr>
        <w:t>Akronim:</w:t>
      </w:r>
      <w:r>
        <w:rPr>
          <w:lang w:val="pl-PL"/>
        </w:rPr>
        <w:t xml:space="preserve"> OpenH</w:t>
      </w:r>
      <w:r w:rsidRPr="00E139ED">
        <w:rPr>
          <w:vertAlign w:val="subscript"/>
          <w:lang w:val="pl-PL"/>
        </w:rPr>
        <w:t>2</w:t>
      </w:r>
      <w:r>
        <w:rPr>
          <w:lang w:val="pl-PL"/>
        </w:rPr>
        <w:t>Lab</w:t>
      </w:r>
    </w:p>
    <w:p w:rsidR="00215AAC" w:rsidRDefault="00300E10" w:rsidP="00300E10">
      <w:pPr>
        <w:jc w:val="both"/>
        <w:rPr>
          <w:lang w:val="pl-PL"/>
        </w:rPr>
      </w:pPr>
      <w:r w:rsidRPr="00300E10">
        <w:rPr>
          <w:b/>
          <w:bCs/>
          <w:lang w:val="pl-PL"/>
        </w:rPr>
        <w:t xml:space="preserve">Cel projektu: </w:t>
      </w:r>
      <w:r>
        <w:rPr>
          <w:lang w:val="pl-PL"/>
        </w:rPr>
        <w:t>Utworzenie, pod auspicjami</w:t>
      </w:r>
      <w:r w:rsidR="00AA0D29" w:rsidRPr="00AA0D29">
        <w:rPr>
          <w:lang w:val="pl-PL"/>
        </w:rPr>
        <w:t xml:space="preserve"> Centrum Technologii Wodorowych i Odnawialnych Źródeł Energii (CTW_OZE)</w:t>
      </w:r>
      <w:r>
        <w:rPr>
          <w:lang w:val="pl-PL"/>
        </w:rPr>
        <w:t>, otwartego laboratorium technik wytwarzania i magazynowania wodoru</w:t>
      </w:r>
      <w:r w:rsidR="00E878EE">
        <w:rPr>
          <w:lang w:val="pl-PL"/>
        </w:rPr>
        <w:t>, pozwalającego na realizację następujących celów szczegółowych:</w:t>
      </w:r>
    </w:p>
    <w:p w:rsidR="00E878EE" w:rsidRDefault="00E878EE" w:rsidP="00E878EE">
      <w:pPr>
        <w:pStyle w:val="Akapitzlist"/>
        <w:numPr>
          <w:ilvl w:val="0"/>
          <w:numId w:val="1"/>
        </w:numPr>
        <w:jc w:val="both"/>
        <w:rPr>
          <w:lang w:val="pl-PL"/>
        </w:rPr>
      </w:pPr>
      <w:r w:rsidRPr="00E878EE">
        <w:rPr>
          <w:lang w:val="pl-PL"/>
        </w:rPr>
        <w:t>Zapewnienie niezbędnej infrastruktury oraz miejsca na prowadzenie badań w obszarze technik</w:t>
      </w:r>
      <w:r>
        <w:rPr>
          <w:lang w:val="pl-PL"/>
        </w:rPr>
        <w:t xml:space="preserve"> wytwarzania,</w:t>
      </w:r>
      <w:r w:rsidRPr="00E878EE">
        <w:rPr>
          <w:lang w:val="pl-PL"/>
        </w:rPr>
        <w:t xml:space="preserve"> </w:t>
      </w:r>
      <w:r>
        <w:rPr>
          <w:lang w:val="pl-PL"/>
        </w:rPr>
        <w:t>magazynowania oraz energetycznego wykorzystania wodoru</w:t>
      </w:r>
      <w:r w:rsidR="000E7BF6">
        <w:rPr>
          <w:lang w:val="pl-PL"/>
        </w:rPr>
        <w:t>.</w:t>
      </w:r>
    </w:p>
    <w:p w:rsidR="00E878EE" w:rsidRDefault="00E878EE" w:rsidP="00E878EE">
      <w:pPr>
        <w:pStyle w:val="Akapitzlist"/>
        <w:numPr>
          <w:ilvl w:val="0"/>
          <w:numId w:val="1"/>
        </w:numPr>
        <w:jc w:val="both"/>
        <w:rPr>
          <w:lang w:val="pl-PL"/>
        </w:rPr>
      </w:pPr>
      <w:r w:rsidRPr="00E878EE">
        <w:rPr>
          <w:lang w:val="pl-PL"/>
        </w:rPr>
        <w:t xml:space="preserve">Zapewnienie </w:t>
      </w:r>
      <w:r w:rsidR="006A1F54" w:rsidRPr="00E878EE">
        <w:rPr>
          <w:lang w:val="pl-PL"/>
        </w:rPr>
        <w:t xml:space="preserve">niezbędnej infrastruktury oraz </w:t>
      </w:r>
      <w:r w:rsidR="006A1F54">
        <w:rPr>
          <w:lang w:val="pl-PL"/>
        </w:rPr>
        <w:t>przestrzeni</w:t>
      </w:r>
      <w:r w:rsidRPr="00E878EE">
        <w:rPr>
          <w:lang w:val="pl-PL"/>
        </w:rPr>
        <w:t xml:space="preserve"> dla kół studenckich (m.in. koło „Płomień” na wydziale Mechaniczno-Energetycznym Politechniki Wrocławskiej), w celu realizacji ich projektów w zakresie technik wytwarzania</w:t>
      </w:r>
      <w:r w:rsidR="00B042B3">
        <w:rPr>
          <w:lang w:val="pl-PL"/>
        </w:rPr>
        <w:t>,</w:t>
      </w:r>
      <w:r w:rsidRPr="00E878EE">
        <w:rPr>
          <w:lang w:val="pl-PL"/>
        </w:rPr>
        <w:t xml:space="preserve"> magazynowania</w:t>
      </w:r>
      <w:r w:rsidR="00B042B3">
        <w:rPr>
          <w:lang w:val="pl-PL"/>
        </w:rPr>
        <w:t xml:space="preserve"> oraz konwersji energii w oparciu o wykorzystanie wodoru jako nośnika energii/paliw</w:t>
      </w:r>
      <w:r w:rsidR="000E7BF6">
        <w:rPr>
          <w:lang w:val="pl-PL"/>
        </w:rPr>
        <w:t>a.</w:t>
      </w:r>
    </w:p>
    <w:p w:rsidR="00DF54B9" w:rsidRDefault="00DF54B9" w:rsidP="00DF54B9">
      <w:pPr>
        <w:pStyle w:val="Akapitzlist"/>
        <w:numPr>
          <w:ilvl w:val="0"/>
          <w:numId w:val="1"/>
        </w:numPr>
        <w:jc w:val="both"/>
        <w:rPr>
          <w:lang w:val="pl-PL"/>
        </w:rPr>
      </w:pPr>
      <w:r>
        <w:rPr>
          <w:lang w:val="pl-PL"/>
        </w:rPr>
        <w:t>Poszerzenie</w:t>
      </w:r>
      <w:r w:rsidR="006A1F54">
        <w:rPr>
          <w:lang w:val="pl-PL"/>
        </w:rPr>
        <w:t xml:space="preserve"> możliwości realizacji </w:t>
      </w:r>
      <w:r>
        <w:rPr>
          <w:lang w:val="pl-PL"/>
        </w:rPr>
        <w:t>prac dyplomowych przez studentów w tematyce wytwarzania,</w:t>
      </w:r>
      <w:r w:rsidRPr="00E878EE">
        <w:rPr>
          <w:lang w:val="pl-PL"/>
        </w:rPr>
        <w:t xml:space="preserve"> </w:t>
      </w:r>
      <w:r>
        <w:rPr>
          <w:lang w:val="pl-PL"/>
        </w:rPr>
        <w:t>magazynowania oraz energetycznego wykorzystania wodoru</w:t>
      </w:r>
      <w:r w:rsidRPr="00E878EE">
        <w:rPr>
          <w:lang w:val="pl-PL"/>
        </w:rPr>
        <w:t xml:space="preserve"> </w:t>
      </w:r>
      <w:r w:rsidR="00AA0D29">
        <w:rPr>
          <w:lang w:val="pl-PL"/>
        </w:rPr>
        <w:t>oraz w części co najmniej prac doktorskich</w:t>
      </w:r>
      <w:r w:rsidR="000E7BF6">
        <w:rPr>
          <w:lang w:val="pl-PL"/>
        </w:rPr>
        <w:t>.</w:t>
      </w:r>
    </w:p>
    <w:p w:rsidR="006A1F54" w:rsidRPr="00E878EE" w:rsidRDefault="00DF54B9" w:rsidP="00E878EE">
      <w:pPr>
        <w:pStyle w:val="Akapitzlist"/>
        <w:numPr>
          <w:ilvl w:val="0"/>
          <w:numId w:val="1"/>
        </w:numPr>
        <w:jc w:val="both"/>
        <w:rPr>
          <w:lang w:val="pl-PL"/>
        </w:rPr>
      </w:pPr>
      <w:r>
        <w:rPr>
          <w:lang w:val="pl-PL"/>
        </w:rPr>
        <w:t>Stworzenie laboratorium o charakterze otwartym, które mogliby obejrzeć goście Politechniki Wrocławskiej</w:t>
      </w:r>
      <w:r w:rsidR="000E7BF6">
        <w:rPr>
          <w:lang w:val="pl-PL"/>
        </w:rPr>
        <w:t xml:space="preserve"> (</w:t>
      </w:r>
      <w:proofErr w:type="spellStart"/>
      <w:r w:rsidR="000E7BF6">
        <w:rPr>
          <w:lang w:val="pl-PL"/>
        </w:rPr>
        <w:t>PWr</w:t>
      </w:r>
      <w:proofErr w:type="spellEnd"/>
      <w:r w:rsidR="000E7BF6">
        <w:rPr>
          <w:lang w:val="pl-PL"/>
        </w:rPr>
        <w:t>)</w:t>
      </w:r>
      <w:r>
        <w:rPr>
          <w:lang w:val="pl-PL"/>
        </w:rPr>
        <w:t xml:space="preserve">, w tym potencjalni partnerzy z otoczenia społeczno-gospodarczego </w:t>
      </w:r>
      <w:proofErr w:type="spellStart"/>
      <w:r w:rsidR="000E7BF6">
        <w:rPr>
          <w:lang w:val="pl-PL"/>
        </w:rPr>
        <w:t>PWr</w:t>
      </w:r>
      <w:proofErr w:type="spellEnd"/>
      <w:r w:rsidR="000E7BF6">
        <w:rPr>
          <w:lang w:val="pl-PL"/>
        </w:rPr>
        <w:t>.</w:t>
      </w:r>
    </w:p>
    <w:p w:rsidR="00E878EE" w:rsidRDefault="00E878EE" w:rsidP="00E878EE">
      <w:pPr>
        <w:pStyle w:val="Akapitzlist"/>
        <w:numPr>
          <w:ilvl w:val="0"/>
          <w:numId w:val="1"/>
        </w:numPr>
        <w:jc w:val="both"/>
        <w:rPr>
          <w:lang w:val="pl-PL"/>
        </w:rPr>
      </w:pPr>
      <w:r>
        <w:rPr>
          <w:lang w:val="pl-PL"/>
        </w:rPr>
        <w:t>Rozwój współpracy międzynarodowej</w:t>
      </w:r>
      <w:r w:rsidR="00B042B3">
        <w:rPr>
          <w:lang w:val="pl-PL"/>
        </w:rPr>
        <w:t xml:space="preserve"> z</w:t>
      </w:r>
      <w:r w:rsidR="006A1F54">
        <w:rPr>
          <w:lang w:val="pl-PL"/>
        </w:rPr>
        <w:t xml:space="preserve"> Uniwersytetem w </w:t>
      </w:r>
      <w:r w:rsidR="006A1F54" w:rsidRPr="006A1F54">
        <w:rPr>
          <w:lang w:val="pl-PL"/>
        </w:rPr>
        <w:t>Montpellier</w:t>
      </w:r>
      <w:r w:rsidR="006A1F54">
        <w:rPr>
          <w:lang w:val="pl-PL"/>
        </w:rPr>
        <w:t xml:space="preserve"> (Francja)</w:t>
      </w:r>
      <w:r w:rsidR="000E7BF6">
        <w:rPr>
          <w:lang w:val="pl-PL"/>
        </w:rPr>
        <w:t>.</w:t>
      </w:r>
    </w:p>
    <w:p w:rsidR="00DF54B9" w:rsidRPr="00E878EE" w:rsidRDefault="00DF54B9" w:rsidP="00E878EE">
      <w:pPr>
        <w:pStyle w:val="Akapitzlist"/>
        <w:numPr>
          <w:ilvl w:val="0"/>
          <w:numId w:val="1"/>
        </w:numPr>
        <w:jc w:val="both"/>
        <w:rPr>
          <w:lang w:val="pl-PL"/>
        </w:rPr>
      </w:pPr>
      <w:r>
        <w:rPr>
          <w:lang w:val="pl-PL"/>
        </w:rPr>
        <w:t>Zwiększenie możliwości promocji Politechniki Wrocławskiej wśród młodzieży szkolnej (potencjalni nowi studenci), poprzez umożliwienie wykorzystania otwartego laboratorium w wydarzeniach takich jak Dolnośląski Festiwal Nauki</w:t>
      </w:r>
      <w:r w:rsidR="000E7BF6">
        <w:rPr>
          <w:lang w:val="pl-PL"/>
        </w:rPr>
        <w:t>.</w:t>
      </w:r>
    </w:p>
    <w:p w:rsidR="00030352" w:rsidRDefault="00030352" w:rsidP="00215AAC">
      <w:pPr>
        <w:rPr>
          <w:b/>
          <w:bCs/>
          <w:lang w:val="pl-PL"/>
        </w:rPr>
      </w:pPr>
      <w:r>
        <w:rPr>
          <w:b/>
          <w:bCs/>
          <w:lang w:val="pl-PL"/>
        </w:rPr>
        <w:t>Motywacja projektu:</w:t>
      </w:r>
    </w:p>
    <w:p w:rsidR="00E511E5" w:rsidRDefault="00E90731" w:rsidP="00E90731">
      <w:pPr>
        <w:spacing w:after="0"/>
        <w:jc w:val="both"/>
        <w:rPr>
          <w:lang w:val="pl-PL"/>
        </w:rPr>
      </w:pPr>
      <w:r w:rsidRPr="00E90731">
        <w:rPr>
          <w:lang w:val="pl-PL"/>
        </w:rPr>
        <w:t xml:space="preserve">Obecnie UE wykorzystuje wodór, odpowiadający 339 </w:t>
      </w:r>
      <w:proofErr w:type="spellStart"/>
      <w:r w:rsidRPr="00E90731">
        <w:rPr>
          <w:lang w:val="pl-PL"/>
        </w:rPr>
        <w:t>TWh</w:t>
      </w:r>
      <w:proofErr w:type="spellEnd"/>
      <w:r w:rsidRPr="00E90731">
        <w:rPr>
          <w:lang w:val="pl-PL"/>
        </w:rPr>
        <w:t xml:space="preserve"> jej energii chemicznej, przy czym zdecydowana większość jest wytwarzana na miejscu w </w:t>
      </w:r>
      <w:r>
        <w:rPr>
          <w:lang w:val="pl-PL"/>
        </w:rPr>
        <w:t>skali przemysłowej</w:t>
      </w:r>
      <w:r w:rsidRPr="00E90731">
        <w:rPr>
          <w:lang w:val="pl-PL"/>
        </w:rPr>
        <w:t xml:space="preserve">. Reforming parowy jest dominujący </w:t>
      </w:r>
      <w:r w:rsidR="000E7BF6">
        <w:rPr>
          <w:lang w:val="pl-PL"/>
        </w:rPr>
        <w:br/>
      </w:r>
      <w:r w:rsidRPr="00E90731">
        <w:rPr>
          <w:lang w:val="pl-PL"/>
        </w:rPr>
        <w:t xml:space="preserve">i odpowiada za 95% wodoru produkowanego w </w:t>
      </w:r>
      <w:r>
        <w:rPr>
          <w:lang w:val="pl-PL"/>
        </w:rPr>
        <w:t xml:space="preserve">Unii Europejskiej </w:t>
      </w:r>
      <w:r>
        <w:rPr>
          <w:lang w:val="pl-PL"/>
        </w:rPr>
        <w:fldChar w:fldCharType="begin" w:fldLock="1"/>
      </w:r>
      <w:r w:rsidR="009E3C38">
        <w:rPr>
          <w:lang w:val="pl-PL"/>
        </w:rPr>
        <w:instrText>ADDIN CSL_CITATION {"citationItems":[{"id":"ITEM-1","itemData":{"DOI":"10.2833/122757","ISBN":"978-92-76-20677-4","author":[{"dropping-particle":"","family":"Cihlar","given":"Jan","non-dropping-particle":"","parse-names":false,"suffix":""},{"dropping-particle":"","family":"Lejarreta","given":"Ainhoa Villar","non-dropping-particle":"","parse-names":false,"suffix":""},{"dropping-particle":"","family":"Wang","given":"Anthony","non-dropping-particle":"","parse-names":false,"suffix":""},{"dropping-particle":"","family":"Melgar","given":"Fatima","non-dropping-particle":"","parse-names":false,"suffix":""},{"dropping-particle":"","family":"Jens","given":"Jaro","non-dropping-particle":"","parse-names":false,"suffix":""},{"dropping-particle":"","family":"Rio","given":"Philippe","non-dropping-particle":"","parse-names":false,"suffix":""}],"id":"ITEM-1","issued":{"date-parts":[["2020"]]},"publisher":"Publications Office of the European Union","title":"Hydrogen generation in Europe: Overview of costs and key benefits","type":"report"},"uris":["http://www.mendeley.com/documents/?uuid=07106a4a-9989-4d70-8a52-ef82145ebb62"]}],"mendeley":{"formattedCitation":"[1]","plainTextFormattedCitation":"[1]","previouslyFormattedCitation":"[1]"},"properties":{"noteIndex":0},"schema":"https://github.com/citation-style-language/schema/raw/master/csl-citation.json"}</w:instrText>
      </w:r>
      <w:r>
        <w:rPr>
          <w:lang w:val="pl-PL"/>
        </w:rPr>
        <w:fldChar w:fldCharType="separate"/>
      </w:r>
      <w:r w:rsidR="009D5B31" w:rsidRPr="009D5B31">
        <w:rPr>
          <w:noProof/>
          <w:lang w:val="pl-PL"/>
        </w:rPr>
        <w:t>[1]</w:t>
      </w:r>
      <w:r>
        <w:rPr>
          <w:lang w:val="pl-PL"/>
        </w:rPr>
        <w:fldChar w:fldCharType="end"/>
      </w:r>
      <w:r w:rsidRPr="00E90731">
        <w:rPr>
          <w:lang w:val="pl-PL"/>
        </w:rPr>
        <w:t xml:space="preserve">. Znaczący wzrost zużycia wodoru, który ma wynieść od 667 do 4000 </w:t>
      </w:r>
      <w:proofErr w:type="spellStart"/>
      <w:r w:rsidRPr="00E90731">
        <w:rPr>
          <w:lang w:val="pl-PL"/>
        </w:rPr>
        <w:t>TWh</w:t>
      </w:r>
      <w:proofErr w:type="spellEnd"/>
      <w:r w:rsidRPr="00E90731">
        <w:rPr>
          <w:lang w:val="pl-PL"/>
        </w:rPr>
        <w:t>, jest prognozowany dla całej UE w 2050 roku</w:t>
      </w:r>
      <w:r>
        <w:rPr>
          <w:lang w:val="pl-PL"/>
        </w:rPr>
        <w:t xml:space="preserve"> </w:t>
      </w:r>
      <w:r>
        <w:rPr>
          <w:lang w:val="pl-PL"/>
        </w:rPr>
        <w:fldChar w:fldCharType="begin" w:fldLock="1"/>
      </w:r>
      <w:r w:rsidR="009E3C38">
        <w:rPr>
          <w:lang w:val="pl-PL"/>
        </w:rPr>
        <w:instrText>ADDIN CSL_CITATION {"citationItems":[{"id":"ITEM-1","itemData":{"DOI":"10.2833/122757","ISBN":"978-92-76-20677-4","author":[{"dropping-particle":"","family":"Cihlar","given":"Jan","non-dropping-particle":"","parse-names":false,"suffix":""},{"dropping-particle":"","family":"Lejarreta","given":"Ainhoa Villar","non-dropping-particle":"","parse-names":false,"suffix":""},{"dropping-particle":"","family":"Wang","given":"Anthony","non-dropping-particle":"","parse-names":false,"suffix":""},{"dropping-particle":"","family":"Melgar","given":"Fatima","non-dropping-particle":"","parse-names":false,"suffix":""},{"dropping-particle":"","family":"Jens","given":"Jaro","non-dropping-particle":"","parse-names":false,"suffix":""},{"dropping-particle":"","family":"Rio","given":"Philippe","non-dropping-particle":"","parse-names":false,"suffix":""}],"id":"ITEM-1","issued":{"date-parts":[["2020"]]},"publisher":"Publications Office of the European Union","title":"Hydrogen generation in Europe: Overview of costs and key benefits","type":"report"},"uris":["http://www.mendeley.com/documents/?uuid=07106a4a-9989-4d70-8a52-ef82145ebb62"]}],"mendeley":{"formattedCitation":"[1]","plainTextFormattedCitation":"[1]","previouslyFormattedCitation":"[1]"},"properties":{"noteIndex":0},"schema":"https://github.com/citation-style-language/schema/raw/master/csl-citation.json"}</w:instrText>
      </w:r>
      <w:r>
        <w:rPr>
          <w:lang w:val="pl-PL"/>
        </w:rPr>
        <w:fldChar w:fldCharType="separate"/>
      </w:r>
      <w:r w:rsidR="009D5B31" w:rsidRPr="009D5B31">
        <w:rPr>
          <w:noProof/>
          <w:lang w:val="pl-PL"/>
        </w:rPr>
        <w:t>[1]</w:t>
      </w:r>
      <w:r>
        <w:rPr>
          <w:lang w:val="pl-PL"/>
        </w:rPr>
        <w:fldChar w:fldCharType="end"/>
      </w:r>
      <w:r w:rsidRPr="00E90731">
        <w:rPr>
          <w:lang w:val="pl-PL"/>
        </w:rPr>
        <w:t>.</w:t>
      </w:r>
      <w:r>
        <w:rPr>
          <w:lang w:val="pl-PL"/>
        </w:rPr>
        <w:t xml:space="preserve"> Wzrost ten motywowany będzie w dużej mierze czynnikami takimi jak:</w:t>
      </w:r>
    </w:p>
    <w:p w:rsidR="00E90731" w:rsidRDefault="00E90731" w:rsidP="00E90731">
      <w:pPr>
        <w:pStyle w:val="Akapitzlist"/>
        <w:numPr>
          <w:ilvl w:val="0"/>
          <w:numId w:val="6"/>
        </w:numPr>
        <w:jc w:val="both"/>
        <w:rPr>
          <w:lang w:val="pl-PL"/>
        </w:rPr>
      </w:pPr>
      <w:r>
        <w:rPr>
          <w:lang w:val="pl-PL"/>
        </w:rPr>
        <w:t xml:space="preserve">Strategia odejścia od paliw opartych o węglowodory związane z globalnym </w:t>
      </w:r>
      <w:r w:rsidR="009D5B31">
        <w:rPr>
          <w:lang w:val="pl-PL"/>
        </w:rPr>
        <w:t xml:space="preserve">ociepleniem </w:t>
      </w:r>
      <w:r w:rsidR="000E7BF6">
        <w:rPr>
          <w:lang w:val="pl-PL"/>
        </w:rPr>
        <w:br/>
      </w:r>
      <w:r>
        <w:rPr>
          <w:lang w:val="pl-PL"/>
        </w:rPr>
        <w:t>i dekarbonizacją gospodarki Unii Europejskiej</w:t>
      </w:r>
    </w:p>
    <w:p w:rsidR="00E90731" w:rsidRDefault="009D5B31" w:rsidP="00E90731">
      <w:pPr>
        <w:pStyle w:val="Akapitzlist"/>
        <w:numPr>
          <w:ilvl w:val="0"/>
          <w:numId w:val="6"/>
        </w:numPr>
        <w:jc w:val="both"/>
        <w:rPr>
          <w:lang w:val="pl-PL"/>
        </w:rPr>
      </w:pPr>
      <w:r>
        <w:rPr>
          <w:lang w:val="pl-PL"/>
        </w:rPr>
        <w:t>Zapewnienie Unii Europejskiej niezależności energetycznej (czynniki geopolityczne)</w:t>
      </w:r>
    </w:p>
    <w:p w:rsidR="00E511E5" w:rsidRPr="009D5B31" w:rsidRDefault="00E90731" w:rsidP="00215AAC">
      <w:pPr>
        <w:pStyle w:val="Akapitzlist"/>
        <w:numPr>
          <w:ilvl w:val="0"/>
          <w:numId w:val="6"/>
        </w:numPr>
        <w:jc w:val="both"/>
        <w:rPr>
          <w:lang w:val="pl-PL"/>
        </w:rPr>
      </w:pPr>
      <w:r w:rsidRPr="009D5B31">
        <w:rPr>
          <w:lang w:val="pl-PL"/>
        </w:rPr>
        <w:t>Konieczność zagospodarowanie nadprodukcji energii elektrycznej</w:t>
      </w:r>
      <w:r w:rsidR="009D5B31">
        <w:rPr>
          <w:lang w:val="pl-PL"/>
        </w:rPr>
        <w:t xml:space="preserve"> oraz stabilności pracy sieci elektroenergetycznych</w:t>
      </w:r>
      <w:r w:rsidRPr="009D5B31">
        <w:rPr>
          <w:lang w:val="pl-PL"/>
        </w:rPr>
        <w:t xml:space="preserve"> w systemach energetycznych </w:t>
      </w:r>
      <w:r w:rsidR="009D5B31">
        <w:rPr>
          <w:lang w:val="pl-PL"/>
        </w:rPr>
        <w:t>o dużym udziale</w:t>
      </w:r>
      <w:r w:rsidRPr="009D5B31">
        <w:rPr>
          <w:lang w:val="pl-PL"/>
        </w:rPr>
        <w:t xml:space="preserve"> niesterowaln</w:t>
      </w:r>
      <w:r w:rsidR="009D5B31">
        <w:rPr>
          <w:lang w:val="pl-PL"/>
        </w:rPr>
        <w:t>ych</w:t>
      </w:r>
      <w:r w:rsidRPr="009D5B31">
        <w:rPr>
          <w:lang w:val="pl-PL"/>
        </w:rPr>
        <w:t xml:space="preserve"> odnawialn</w:t>
      </w:r>
      <w:r w:rsidR="009D5B31">
        <w:rPr>
          <w:lang w:val="pl-PL"/>
        </w:rPr>
        <w:t>ych</w:t>
      </w:r>
      <w:r w:rsidRPr="009D5B31">
        <w:rPr>
          <w:lang w:val="pl-PL"/>
        </w:rPr>
        <w:t xml:space="preserve"> źród</w:t>
      </w:r>
      <w:r w:rsidR="009D5B31">
        <w:rPr>
          <w:lang w:val="pl-PL"/>
        </w:rPr>
        <w:t>eł</w:t>
      </w:r>
      <w:r w:rsidRPr="009D5B31">
        <w:rPr>
          <w:lang w:val="pl-PL"/>
        </w:rPr>
        <w:t xml:space="preserve"> energii (np. PV, wiatr)</w:t>
      </w:r>
      <w:r w:rsidR="009D5B31" w:rsidRPr="009D5B31">
        <w:rPr>
          <w:lang w:val="pl-PL"/>
        </w:rPr>
        <w:t xml:space="preserve"> </w:t>
      </w:r>
      <w:r w:rsidR="009D5B31">
        <w:rPr>
          <w:lang w:val="pl-PL"/>
        </w:rPr>
        <w:fldChar w:fldCharType="begin" w:fldLock="1"/>
      </w:r>
      <w:r w:rsidR="009E3C38">
        <w:rPr>
          <w:lang w:val="pl-PL"/>
        </w:rPr>
        <w:instrText>ADDIN CSL_CITATION {"citationItems":[{"id":"ITEM-1","itemData":{"DOI":"10.1016/j.energy.2019.06.026","author":[{"dropping-particle":"","family":"Pawlak-Kruczek","given":"Halina","non-dropping-particle":"","parse-names":false,"suffix":""},{"dropping-particle":"","family":"Niedźwiecki","given":"Łukasz","non-dropping-particle":"","parse-names":false,"suffix":""},{"dropping-particle":"","family":"Ostrycharczyk","given":"Michał","non-dropping-particle":"","parse-names":false,"suffix":""},{"dropping-particle":"","family":"Czerep","given":"Michał","non-dropping-particle":"","parse-names":false,"suffix":""},{"dropping-particle":"","family":"Plutecki","given":"Zbigniew","non-dropping-particle":"","parse-names":false,"suffix":""}],"container-title":"Energy","id":"ITEM-1","issued":{"date-parts":[["2019"]]},"page":"1142-1151","title":"Potential and methods for increasing the flexibility and efficiency of the lignite fired power unit, using integrated lignite drying","type":"article-journal","volume":"181"},"uris":["http://www.mendeley.com/documents/?uuid=98f9c57d-1438-4206-9201-4e3bdfc8b243"]},{"id":"ITEM-2","itemData":{"DOI":"10.3390/en13195056","ISSN":"1996-1073","abstract":"Due to the increasing installed power of the intermittent renewable energy sources in the European Union, increasing the operation flexibility of the generating units in the system is necessary. This is particularly important for systems with relatively large installed power of wind and solar. Plasma technologies can be used for that purpose. Nonetheless, the wide implementation of such technology should be economically justified. This paper shows that the use of plasma systems for increasing the flexibility of power units can be economically feasible, based on the results of a net present value analysis. The cost of the installation itself had a marginal effect on the results of the net present value analysis. Based on the performed analysis, the ability to lower the technical minimum of the power unit and the relationship between such a technical minimum and the installed power of a plasma system can be considered decisive factors influencing the economics of the investment for such an installation. Further research on better means of prediction of the minimum attainable load, which would allow determining the influence of implementation of a plasma system, is recommended. This will be the decisive factor behind future decisions regarding investing in such systems.","author":[{"dropping-particle":"","family":"Mączka","given":"Tadeusz","non-dropping-particle":"","parse-names":false,"suffix":""},{"dropping-particle":"","family":"Pawlak-Kruczek","given":"Halina","non-dropping-particle":"","parse-names":false,"suffix":""},{"dropping-particle":"","family":"Niedzwiecki","given":"Lukasz","non-dropping-particle":"","parse-names":false,"suffix":""},{"dropping-particle":"","family":"Ziaja","given":"Edward","non-dropping-particle":"","parse-names":false,"suffix":""},{"dropping-particle":"","family":"Chorążyczewski","given":"Artur","non-dropping-particle":"","parse-names":false,"suffix":""}],"container-title":"Energies","id":"ITEM-2","issue":"19","issued":{"date-parts":[["2020","9","25"]]},"title":"Plasma Assisted Combustion as a Cost-Effective Way for Balancing of Intermittent Sources: Techno-Economic Assessment for 200 MWel Power Unit","type":"article-journal","volume":"13"},"uris":["http://www.mendeley.com/documents/?uuid=069f8709-80a2-451a-9c80-14a2493c1d7e"]}],"mendeley":{"formattedCitation":"[2,3]","plainTextFormattedCitation":"[2,3]","previouslyFormattedCitation":"[2,3]"},"properties":{"noteIndex":0},"schema":"https://github.com/citation-style-language/schema/raw/master/csl-citation.json"}</w:instrText>
      </w:r>
      <w:r w:rsidR="009D5B31">
        <w:rPr>
          <w:lang w:val="pl-PL"/>
        </w:rPr>
        <w:fldChar w:fldCharType="separate"/>
      </w:r>
      <w:r w:rsidR="009D5B31" w:rsidRPr="009D5B31">
        <w:rPr>
          <w:noProof/>
          <w:lang w:val="pl-PL"/>
        </w:rPr>
        <w:t>[2,3]</w:t>
      </w:r>
      <w:r w:rsidR="009D5B31">
        <w:rPr>
          <w:lang w:val="pl-PL"/>
        </w:rPr>
        <w:fldChar w:fldCharType="end"/>
      </w:r>
      <w:r w:rsidR="000E7BF6">
        <w:rPr>
          <w:lang w:val="pl-PL"/>
        </w:rPr>
        <w:t>.</w:t>
      </w:r>
    </w:p>
    <w:p w:rsidR="00215AAC" w:rsidRPr="00AC4C78" w:rsidRDefault="00AC4C78" w:rsidP="00215AAC">
      <w:pPr>
        <w:rPr>
          <w:b/>
          <w:bCs/>
          <w:lang w:val="pl-PL"/>
        </w:rPr>
      </w:pPr>
      <w:r w:rsidRPr="00AC4C78">
        <w:rPr>
          <w:b/>
          <w:bCs/>
          <w:lang w:val="pl-PL"/>
        </w:rPr>
        <w:t>Zadania do wykonania w ramach projektu:</w:t>
      </w:r>
    </w:p>
    <w:p w:rsidR="00AC4C78" w:rsidRDefault="00AC4C78" w:rsidP="00AC4C78">
      <w:pPr>
        <w:jc w:val="both"/>
        <w:rPr>
          <w:lang w:val="pl-PL"/>
        </w:rPr>
      </w:pPr>
      <w:r>
        <w:rPr>
          <w:lang w:val="pl-PL"/>
        </w:rPr>
        <w:t xml:space="preserve">Projekt będzie miał charakter organizacyjny i wymagać będzie stosunkowo niewielkich nakładów środków własnych </w:t>
      </w:r>
      <w:proofErr w:type="spellStart"/>
      <w:r>
        <w:rPr>
          <w:lang w:val="pl-PL"/>
        </w:rPr>
        <w:t>PWr</w:t>
      </w:r>
      <w:proofErr w:type="spellEnd"/>
      <w:r>
        <w:rPr>
          <w:lang w:val="pl-PL"/>
        </w:rPr>
        <w:t>. Do uruchomienia o</w:t>
      </w:r>
      <w:r w:rsidRPr="00AC4C78">
        <w:rPr>
          <w:lang w:val="pl-PL"/>
        </w:rPr>
        <w:t>twarte</w:t>
      </w:r>
      <w:r>
        <w:rPr>
          <w:lang w:val="pl-PL"/>
        </w:rPr>
        <w:t>go</w:t>
      </w:r>
      <w:r w:rsidRPr="00AC4C78">
        <w:rPr>
          <w:lang w:val="pl-PL"/>
        </w:rPr>
        <w:t xml:space="preserve"> laboratorium technik wytwarzania, magazynowania oraz energetycznego wykorzystania wodoru</w:t>
      </w:r>
      <w:r>
        <w:rPr>
          <w:lang w:val="pl-PL"/>
        </w:rPr>
        <w:t xml:space="preserve"> konieczne będzie wykonanie następujących zadań:</w:t>
      </w:r>
    </w:p>
    <w:p w:rsidR="00AC4C78" w:rsidRPr="00030352" w:rsidRDefault="00AC4C78" w:rsidP="000E7BF6">
      <w:pPr>
        <w:pStyle w:val="Akapitzlist"/>
        <w:numPr>
          <w:ilvl w:val="0"/>
          <w:numId w:val="3"/>
        </w:numPr>
        <w:jc w:val="both"/>
        <w:rPr>
          <w:lang w:val="pl-PL"/>
        </w:rPr>
      </w:pPr>
      <w:r w:rsidRPr="00030352">
        <w:rPr>
          <w:lang w:val="pl-PL"/>
        </w:rPr>
        <w:t xml:space="preserve">Przydział </w:t>
      </w:r>
      <w:r w:rsidR="00030352" w:rsidRPr="00030352">
        <w:rPr>
          <w:lang w:val="pl-PL"/>
        </w:rPr>
        <w:t xml:space="preserve">niezbędnej przestrzeni – pomieszczeń o łącznej powierzchni </w:t>
      </w:r>
      <w:r w:rsidR="000E7BF6">
        <w:rPr>
          <w:lang w:val="pl-PL"/>
        </w:rPr>
        <w:t>około</w:t>
      </w:r>
      <w:r w:rsidR="00030352" w:rsidRPr="00030352">
        <w:rPr>
          <w:lang w:val="pl-PL"/>
        </w:rPr>
        <w:t xml:space="preserve"> </w:t>
      </w:r>
      <w:r w:rsidR="002E4E1A" w:rsidRPr="00AA0D29">
        <w:rPr>
          <w:lang w:val="pl-PL"/>
        </w:rPr>
        <w:t>50</w:t>
      </w:r>
      <w:r w:rsidR="00030352" w:rsidRPr="00030352">
        <w:rPr>
          <w:lang w:val="pl-PL"/>
        </w:rPr>
        <w:t xml:space="preserve"> m</w:t>
      </w:r>
      <w:r w:rsidR="00030352" w:rsidRPr="00030352">
        <w:rPr>
          <w:vertAlign w:val="superscript"/>
          <w:lang w:val="pl-PL"/>
        </w:rPr>
        <w:t>2</w:t>
      </w:r>
      <w:r w:rsidR="00030352" w:rsidRPr="00030352">
        <w:rPr>
          <w:lang w:val="pl-PL"/>
        </w:rPr>
        <w:t xml:space="preserve">. </w:t>
      </w:r>
      <w:r w:rsidR="00030352">
        <w:rPr>
          <w:lang w:val="pl-PL"/>
        </w:rPr>
        <w:t>Wstępnie proponowana lokalizacja to budynek C-13, ze względu na swój charakter odpowiedni dla koncentracji znacznej ilości studentów</w:t>
      </w:r>
      <w:r w:rsidR="00EE6E82">
        <w:rPr>
          <w:lang w:val="pl-PL"/>
        </w:rPr>
        <w:t xml:space="preserve"> (położenie na kampusie)</w:t>
      </w:r>
      <w:r w:rsidR="002E4E1A">
        <w:rPr>
          <w:lang w:val="pl-PL"/>
        </w:rPr>
        <w:t xml:space="preserve"> </w:t>
      </w:r>
      <w:r w:rsidR="00030352">
        <w:rPr>
          <w:lang w:val="pl-PL"/>
        </w:rPr>
        <w:t>/odwiedzających w takcie festiwali</w:t>
      </w:r>
      <w:r w:rsidR="00EE6E82">
        <w:rPr>
          <w:lang w:val="pl-PL"/>
        </w:rPr>
        <w:t xml:space="preserve"> (bliskość dużego parkingu oraz </w:t>
      </w:r>
      <w:proofErr w:type="spellStart"/>
      <w:r w:rsidR="00EE6E82">
        <w:rPr>
          <w:lang w:val="pl-PL"/>
        </w:rPr>
        <w:t>Polinki</w:t>
      </w:r>
      <w:proofErr w:type="spellEnd"/>
      <w:r w:rsidR="00EE6E82">
        <w:rPr>
          <w:lang w:val="pl-PL"/>
        </w:rPr>
        <w:t>)</w:t>
      </w:r>
      <w:r w:rsidR="002E4E1A">
        <w:rPr>
          <w:lang w:val="pl-PL"/>
        </w:rPr>
        <w:t xml:space="preserve"> </w:t>
      </w:r>
      <w:r w:rsidR="00EE6E82">
        <w:rPr>
          <w:lang w:val="pl-PL"/>
        </w:rPr>
        <w:t>/ odwiedzających przedstawicieli przemysłu (bliskość A1).</w:t>
      </w:r>
    </w:p>
    <w:p w:rsidR="00030352" w:rsidRDefault="006F5574" w:rsidP="000E7BF6">
      <w:pPr>
        <w:pStyle w:val="Akapitzlist"/>
        <w:numPr>
          <w:ilvl w:val="0"/>
          <w:numId w:val="3"/>
        </w:numPr>
        <w:jc w:val="both"/>
        <w:rPr>
          <w:lang w:val="pl-PL"/>
        </w:rPr>
      </w:pPr>
      <w:r>
        <w:rPr>
          <w:lang w:val="pl-PL"/>
        </w:rPr>
        <w:t xml:space="preserve">Dostosowanie </w:t>
      </w:r>
      <w:r w:rsidR="00744775">
        <w:rPr>
          <w:lang w:val="pl-PL"/>
        </w:rPr>
        <w:t>infrastruktury</w:t>
      </w:r>
      <w:r>
        <w:rPr>
          <w:lang w:val="pl-PL"/>
        </w:rPr>
        <w:t xml:space="preserve"> –</w:t>
      </w:r>
      <w:r w:rsidR="006C42A6">
        <w:rPr>
          <w:lang w:val="pl-PL"/>
        </w:rPr>
        <w:t xml:space="preserve"> </w:t>
      </w:r>
      <w:r>
        <w:rPr>
          <w:lang w:val="pl-PL"/>
        </w:rPr>
        <w:t>przyłącza mediów (woda, prąd) oraz wyciąg wentylacyjny, a także drobne prace remontowe (np. malowanie) w celu uzyskania reprezentatywnego wygląd</w:t>
      </w:r>
      <w:r w:rsidR="00B955EA">
        <w:rPr>
          <w:lang w:val="pl-PL"/>
        </w:rPr>
        <w:t>u</w:t>
      </w:r>
      <w:r>
        <w:rPr>
          <w:lang w:val="pl-PL"/>
        </w:rPr>
        <w:t xml:space="preserve"> pomieszczeń.</w:t>
      </w:r>
    </w:p>
    <w:p w:rsidR="0053697D" w:rsidRPr="000A0163" w:rsidRDefault="0053697D" w:rsidP="000E7BF6">
      <w:pPr>
        <w:pStyle w:val="Akapitzlist"/>
        <w:numPr>
          <w:ilvl w:val="0"/>
          <w:numId w:val="3"/>
        </w:numPr>
        <w:jc w:val="both"/>
        <w:rPr>
          <w:lang w:val="pl-PL"/>
        </w:rPr>
      </w:pPr>
      <w:r>
        <w:rPr>
          <w:lang w:val="pl-PL"/>
        </w:rPr>
        <w:lastRenderedPageBreak/>
        <w:t xml:space="preserve">Nieodpłatne sprowadzenie z Uniwersytetu w </w:t>
      </w:r>
      <w:r w:rsidRPr="006A1F54">
        <w:rPr>
          <w:lang w:val="pl-PL"/>
        </w:rPr>
        <w:t>Montpellier</w:t>
      </w:r>
      <w:r>
        <w:rPr>
          <w:lang w:val="pl-PL"/>
        </w:rPr>
        <w:t xml:space="preserve"> aparatury </w:t>
      </w:r>
      <w:r w:rsidR="000A0163">
        <w:rPr>
          <w:lang w:val="pl-PL"/>
        </w:rPr>
        <w:t xml:space="preserve">plazmowej </w:t>
      </w:r>
      <w:r>
        <w:rPr>
          <w:lang w:val="pl-PL"/>
        </w:rPr>
        <w:t xml:space="preserve">do syntezy nanomateriałów </w:t>
      </w:r>
      <w:r w:rsidR="0066166D">
        <w:rPr>
          <w:lang w:val="pl-PL"/>
        </w:rPr>
        <w:t xml:space="preserve">węglowych </w:t>
      </w:r>
      <w:r w:rsidR="000A0163">
        <w:rPr>
          <w:lang w:val="pl-PL"/>
        </w:rPr>
        <w:t xml:space="preserve">w celu </w:t>
      </w:r>
      <w:r>
        <w:rPr>
          <w:lang w:val="pl-PL"/>
        </w:rPr>
        <w:t>wykorzystywan</w:t>
      </w:r>
      <w:r w:rsidR="000A0163">
        <w:rPr>
          <w:lang w:val="pl-PL"/>
        </w:rPr>
        <w:t>ia</w:t>
      </w:r>
      <w:r>
        <w:rPr>
          <w:lang w:val="pl-PL"/>
        </w:rPr>
        <w:t xml:space="preserve"> do</w:t>
      </w:r>
      <w:r w:rsidR="000A0163">
        <w:rPr>
          <w:lang w:val="pl-PL"/>
        </w:rPr>
        <w:t xml:space="preserve"> testów </w:t>
      </w:r>
      <w:r>
        <w:rPr>
          <w:lang w:val="pl-PL"/>
        </w:rPr>
        <w:t xml:space="preserve">magazynowania wodoru </w:t>
      </w:r>
      <w:r w:rsidRPr="000A0163">
        <w:rPr>
          <w:lang w:val="pl-PL"/>
        </w:rPr>
        <w:t>(wydatki poniesione będą jedynie w zakresie kosztów transportu</w:t>
      </w:r>
      <w:r w:rsidR="0066166D" w:rsidRPr="000A0163">
        <w:rPr>
          <w:lang w:val="pl-PL"/>
        </w:rPr>
        <w:t>, oraz ww. dostosowania infrastruktury pomieszczenia</w:t>
      </w:r>
      <w:r w:rsidRPr="000A0163">
        <w:rPr>
          <w:lang w:val="pl-PL"/>
        </w:rPr>
        <w:t xml:space="preserve"> </w:t>
      </w:r>
      <w:r w:rsidR="000A0163">
        <w:rPr>
          <w:lang w:val="pl-PL"/>
        </w:rPr>
        <w:t xml:space="preserve">–butle hel argon –czynniki </w:t>
      </w:r>
      <w:proofErr w:type="spellStart"/>
      <w:r w:rsidR="000A0163">
        <w:rPr>
          <w:lang w:val="pl-PL"/>
        </w:rPr>
        <w:t>plazmotw</w:t>
      </w:r>
      <w:r w:rsidR="00AC473C">
        <w:rPr>
          <w:lang w:val="pl-PL"/>
        </w:rPr>
        <w:t>ó</w:t>
      </w:r>
      <w:r w:rsidR="000A0163">
        <w:rPr>
          <w:lang w:val="pl-PL"/>
        </w:rPr>
        <w:t>rcze</w:t>
      </w:r>
      <w:proofErr w:type="spellEnd"/>
      <w:r w:rsidR="000A0163">
        <w:rPr>
          <w:lang w:val="pl-PL"/>
        </w:rPr>
        <w:t xml:space="preserve"> ew. CO</w:t>
      </w:r>
      <w:r w:rsidR="000A0163" w:rsidRPr="000C7B81">
        <w:rPr>
          <w:vertAlign w:val="subscript"/>
          <w:lang w:val="pl-PL"/>
        </w:rPr>
        <w:t>2</w:t>
      </w:r>
      <w:r w:rsidRPr="000A0163">
        <w:rPr>
          <w:lang w:val="pl-PL"/>
        </w:rPr>
        <w:t>)</w:t>
      </w:r>
    </w:p>
    <w:p w:rsidR="0053697D" w:rsidRDefault="0088773F" w:rsidP="0053697D">
      <w:pPr>
        <w:jc w:val="both"/>
        <w:rPr>
          <w:rStyle w:val="q4iawc"/>
          <w:lang w:val="pl-PL"/>
        </w:rPr>
      </w:pPr>
      <w:r>
        <w:rPr>
          <w:rStyle w:val="q4iawc"/>
          <w:lang w:val="pl-PL"/>
        </w:rPr>
        <w:t xml:space="preserve">Dzięki sprowadzonej aparaturze będzie możliwe przygotowanie </w:t>
      </w:r>
      <w:proofErr w:type="spellStart"/>
      <w:r>
        <w:rPr>
          <w:rStyle w:val="q4iawc"/>
          <w:lang w:val="pl-PL"/>
        </w:rPr>
        <w:t>nanoporowatych</w:t>
      </w:r>
      <w:proofErr w:type="spellEnd"/>
      <w:r>
        <w:rPr>
          <w:rStyle w:val="q4iawc"/>
          <w:lang w:val="pl-PL"/>
        </w:rPr>
        <w:t xml:space="preserve"> materiałów węglowych techniką wyładowania łukowego między elektrodami grafitowymi. Tradycyjnie stosowana do wytwarzania dużych ilości fulerenów i nanorurek węglowych, technika ta może być również zoptymalizowana do syntezy fragmentów grafenu (plastrów) o rozmiarach nanometrycznych, zawierających tylko kilka warstw grafenu. Ten aspekt topologii próbki jest niezwykle ważny, ponieważ fragmentacja ścian nieskończonych porów tworzy dodatkową powierzchnię adsorpcyjną na krawędzi</w:t>
      </w:r>
      <w:r w:rsidR="00E511E5">
        <w:rPr>
          <w:rStyle w:val="q4iawc"/>
          <w:lang w:val="pl-PL"/>
        </w:rPr>
        <w:t xml:space="preserve">ach </w:t>
      </w:r>
      <w:r w:rsidR="00AB0E8E">
        <w:rPr>
          <w:rStyle w:val="q4iawc"/>
          <w:lang w:val="pl-PL"/>
        </w:rPr>
        <w:fldChar w:fldCharType="begin" w:fldLock="1"/>
      </w:r>
      <w:r w:rsidR="009E3C38">
        <w:rPr>
          <w:rStyle w:val="q4iawc"/>
          <w:lang w:val="pl-PL"/>
        </w:rPr>
        <w:instrText>ADDIN CSL_CITATION {"citationItems":[{"id":"ITEM-1","itemData":{"DOI":"10.1016/j.carbon.2012.10.049","ISSN":"00086223","author":[{"dropping-particle":"","family":"Firlej","given":"L.","non-dropping-particle":"","parse-names":false,"suffix":""},{"dropping-particle":"","family":"Kuchta","given":"B.","non-dropping-particle":"","parse-names":false,"suffix":""},{"dropping-particle":"","family":"Lazarewicz","given":"A.","non-dropping-particle":"","parse-names":false,"suffix":""},{"dropping-particle":"","family":"Pfeifer","given":"P.","non-dropping-particle":"","parse-names":false,"suffix":""}],"container-title":"Carbon","id":"ITEM-1","issued":{"date-parts":[["2013","3"]]},"page":"208-215","title":"Increased H2 gravimetric storage capacity in truncated carbon slit pores modeled by Grand Canonical Monte Carlo","type":"article-journal","volume":"53"},"uris":["http://www.mendeley.com/documents/?uuid=f06e7d7a-0cac-4fca-b27d-2f6a201a00d2"]}],"mendeley":{"formattedCitation":"[4]","plainTextFormattedCitation":"[4]","previouslyFormattedCitation":"[4]"},"properties":{"noteIndex":0},"schema":"https://github.com/citation-style-language/schema/raw/master/csl-citation.json"}</w:instrText>
      </w:r>
      <w:r w:rsidR="00AB0E8E">
        <w:rPr>
          <w:rStyle w:val="q4iawc"/>
          <w:lang w:val="pl-PL"/>
        </w:rPr>
        <w:fldChar w:fldCharType="separate"/>
      </w:r>
      <w:r w:rsidR="009D5B31" w:rsidRPr="009D5B31">
        <w:rPr>
          <w:rStyle w:val="q4iawc"/>
          <w:noProof/>
          <w:lang w:val="pl-PL"/>
        </w:rPr>
        <w:t>[4]</w:t>
      </w:r>
      <w:r w:rsidR="00AB0E8E">
        <w:rPr>
          <w:rStyle w:val="q4iawc"/>
          <w:lang w:val="pl-PL"/>
        </w:rPr>
        <w:fldChar w:fldCharType="end"/>
      </w:r>
      <w:r>
        <w:rPr>
          <w:rStyle w:val="q4iawc"/>
          <w:lang w:val="pl-PL"/>
        </w:rPr>
        <w:t xml:space="preserve">. Dodatkową zaletą techniki wyładowań łukowych jest możliwość wytwarzania struktur węglowych zawierających heteroatomy, niezwykle trudnych do wytworzenia klasycznymi metodami chemicznymi. Nanostruktury </w:t>
      </w:r>
      <w:proofErr w:type="spellStart"/>
      <w:r>
        <w:rPr>
          <w:rStyle w:val="q4iawc"/>
          <w:lang w:val="pl-PL"/>
        </w:rPr>
        <w:t>grafenowe</w:t>
      </w:r>
      <w:proofErr w:type="spellEnd"/>
      <w:r>
        <w:rPr>
          <w:rStyle w:val="q4iawc"/>
          <w:lang w:val="pl-PL"/>
        </w:rPr>
        <w:t xml:space="preserve"> domieszkowane borem </w:t>
      </w:r>
      <w:r w:rsidR="000E7BF6">
        <w:rPr>
          <w:rStyle w:val="q4iawc"/>
          <w:lang w:val="pl-PL"/>
        </w:rPr>
        <w:br/>
      </w:r>
      <w:r>
        <w:rPr>
          <w:rStyle w:val="q4iawc"/>
          <w:lang w:val="pl-PL"/>
        </w:rPr>
        <w:t>i azotem zostały już przygotowane w ten sposób, przy użyciu elektrod wypełnionych borem (pirydyną) lub B2H6 (amoniak) - zawierającej atmosferę wyładowczą</w:t>
      </w:r>
      <w:r w:rsidR="00AB0E8E">
        <w:rPr>
          <w:rStyle w:val="q4iawc"/>
          <w:lang w:val="pl-PL"/>
        </w:rPr>
        <w:t xml:space="preserve"> </w:t>
      </w:r>
      <w:r w:rsidR="00AB0E8E">
        <w:rPr>
          <w:rStyle w:val="q4iawc"/>
          <w:lang w:val="pl-PL"/>
        </w:rPr>
        <w:fldChar w:fldCharType="begin" w:fldLock="1"/>
      </w:r>
      <w:r w:rsidR="009E3C38">
        <w:rPr>
          <w:rStyle w:val="q4iawc"/>
          <w:lang w:val="pl-PL"/>
        </w:rPr>
        <w:instrText>ADDIN CSL_CITATION {"citationItems":[{"id":"ITEM-1","itemData":{"DOI":"10.3390/nano11092173","ISSN":"2079-4991","abstract":"Nanoporous carbons remain the most promising candidates for effective hydrogen storage by physisorption in currently foreseen hydrogen-based scenarios of the world’s energy future. An optimal sorbent meeting the current technological requirement has not been developed yet. Here we first review the storage limitations of currently available nanoporous carbons, then we discuss possible ways to improve their storage performance. We focus on two fundamental parameters determining the storage (the surface accessible for adsorption and hydrogen adsorption energy). We define numerically the values nanoporous carbons have to show to satisfy mobile application requirements at pressures lower than 120 bar. Possible necessary modifications of the topology and chemical compositions of carbon nanostructures are proposed and discussed. We indicate that pore wall fragmentation (nano-size graphene scaffolds) is a partial solution only, and chemical modifications of the carbon pore walls are required. The positive effects (and their limits) of the carbon substitutions by B and Be atoms are described. The experimental ‘proof of concept’ of the proposed strategies is also presented. We show that boron substituted nanoporous carbons prepared by a simple arc-discharge technique show a hydrogen adsorption energy twice as high as their pure carbon analogs. These preliminary results justify the continuation of the joint experimental and numerical research effort in this field.","author":[{"dropping-particle":"","family":"Firlej","given":"Lucyna","non-dropping-particle":"","parse-names":false,"suffix":""},{"dropping-particle":"","family":"Kuchta","given":"Bogdan","non-dropping-particle":"","parse-names":false,"suffix":""},{"dropping-particle":"","family":"Walczak","given":"Katarzyna","non-dropping-particle":"","parse-names":false,"suffix":""},{"dropping-particle":"","family":"Journet","given":"Catherine","non-dropping-particle":"","parse-names":false,"suffix":""}],"container-title":"Nanomaterials","id":"ITEM-1","issue":"9","issued":{"date-parts":[["2021","8","25"]]},"page":"2173","title":"Hydrogen Storage in Pure and Boron-Substituted Nanoporous Carbons—Numerical and Experimental Perspective","type":"article-journal","volume":"11"},"uris":["http://www.mendeley.com/documents/?uuid=fdf85100-a188-443c-9c0d-fc9bd370852a"]}],"mendeley":{"formattedCitation":"[5]","plainTextFormattedCitation":"[5]","previouslyFormattedCitation":"[5]"},"properties":{"noteIndex":0},"schema":"https://github.com/citation-style-language/schema/raw/master/csl-citation.json"}</w:instrText>
      </w:r>
      <w:r w:rsidR="00AB0E8E">
        <w:rPr>
          <w:rStyle w:val="q4iawc"/>
          <w:lang w:val="pl-PL"/>
        </w:rPr>
        <w:fldChar w:fldCharType="separate"/>
      </w:r>
      <w:r w:rsidR="009D5B31" w:rsidRPr="009D5B31">
        <w:rPr>
          <w:rStyle w:val="q4iawc"/>
          <w:noProof/>
          <w:lang w:val="pl-PL"/>
        </w:rPr>
        <w:t>[5]</w:t>
      </w:r>
      <w:r w:rsidR="00AB0E8E">
        <w:rPr>
          <w:rStyle w:val="q4iawc"/>
          <w:lang w:val="pl-PL"/>
        </w:rPr>
        <w:fldChar w:fldCharType="end"/>
      </w:r>
      <w:r>
        <w:rPr>
          <w:rStyle w:val="q4iawc"/>
          <w:lang w:val="pl-PL"/>
        </w:rPr>
        <w:t xml:space="preserve">. Aparatura do wyładowań łukowych zostanie przekazana </w:t>
      </w:r>
      <w:proofErr w:type="spellStart"/>
      <w:r>
        <w:rPr>
          <w:rStyle w:val="q4iawc"/>
          <w:lang w:val="pl-PL"/>
        </w:rPr>
        <w:t>PWr</w:t>
      </w:r>
      <w:proofErr w:type="spellEnd"/>
      <w:r>
        <w:rPr>
          <w:rStyle w:val="q4iawc"/>
          <w:lang w:val="pl-PL"/>
        </w:rPr>
        <w:t xml:space="preserve"> przez Uniwersytet Montpellier we Francji. Prof. L. Firlej początkowo będzie odpowiadał za lokalną instalację i uruchomienie aparatu, a następnie utworzy członków grupy, aby stali się autonomicznymi użytkownikami instalacji</w:t>
      </w:r>
      <w:r w:rsidR="009A17CE">
        <w:rPr>
          <w:rStyle w:val="q4iawc"/>
          <w:lang w:val="pl-PL"/>
        </w:rPr>
        <w:t xml:space="preserve"> (Rys.1)</w:t>
      </w:r>
      <w:r>
        <w:rPr>
          <w:rStyle w:val="q4iawc"/>
          <w:lang w:val="pl-PL"/>
        </w:rPr>
        <w:t>.</w:t>
      </w:r>
    </w:p>
    <w:p w:rsidR="009A17CE" w:rsidRDefault="009A17CE" w:rsidP="009A17CE">
      <w:pPr>
        <w:jc w:val="center"/>
        <w:rPr>
          <w:rStyle w:val="q4iawc"/>
          <w:lang w:val="pl-PL"/>
        </w:rPr>
      </w:pPr>
      <w:r>
        <w:rPr>
          <w:noProof/>
          <w:lang w:val="en-US" w:eastAsia="en-US"/>
        </w:rPr>
        <w:drawing>
          <wp:inline distT="0" distB="0" distL="0" distR="0" wp14:anchorId="4762AEFA" wp14:editId="4C209BAE">
            <wp:extent cx="1164870" cy="1455420"/>
            <wp:effectExtent l="0" t="0" r="0" b="0"/>
            <wp:docPr id="2" name="Picture 2" descr="Obraz zawierający ściana, wewnątrz, podłoże, narzędz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ściana, wewnątrz, podłoże, narzędzie&#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9527" cy="1498722"/>
                    </a:xfrm>
                    <a:prstGeom prst="rect">
                      <a:avLst/>
                    </a:prstGeom>
                    <a:noFill/>
                    <a:ln>
                      <a:noFill/>
                    </a:ln>
                  </pic:spPr>
                </pic:pic>
              </a:graphicData>
            </a:graphic>
          </wp:inline>
        </w:drawing>
      </w:r>
      <w:r>
        <w:rPr>
          <w:noProof/>
          <w:lang w:val="en-US" w:eastAsia="en-US"/>
        </w:rPr>
        <w:drawing>
          <wp:inline distT="0" distB="0" distL="0" distR="0" wp14:anchorId="3458FCF1" wp14:editId="464A93E7">
            <wp:extent cx="1946487" cy="1459865"/>
            <wp:effectExtent l="0" t="0" r="0" b="6985"/>
            <wp:docPr id="3" name="Picture 3" descr="Obraz zawierający ściana,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braz zawierający ściana, wewnątrz&#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7641" cy="1483231"/>
                    </a:xfrm>
                    <a:prstGeom prst="rect">
                      <a:avLst/>
                    </a:prstGeom>
                    <a:noFill/>
                    <a:ln>
                      <a:noFill/>
                    </a:ln>
                  </pic:spPr>
                </pic:pic>
              </a:graphicData>
            </a:graphic>
          </wp:inline>
        </w:drawing>
      </w:r>
      <w:r>
        <w:rPr>
          <w:noProof/>
          <w:lang w:val="en-US" w:eastAsia="en-US"/>
        </w:rPr>
        <w:drawing>
          <wp:inline distT="0" distB="0" distL="0" distR="0" wp14:anchorId="1DB3239D" wp14:editId="7B77CEE2">
            <wp:extent cx="2018665" cy="1511222"/>
            <wp:effectExtent l="0" t="0" r="635" b="0"/>
            <wp:docPr id="4" name="Picture 1" descr="Obraz zawierający czekolada, roślina, patel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Obraz zawierający czekolada, roślina, patelni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621" cy="1550117"/>
                    </a:xfrm>
                    <a:prstGeom prst="rect">
                      <a:avLst/>
                    </a:prstGeom>
                    <a:noFill/>
                    <a:ln>
                      <a:noFill/>
                    </a:ln>
                  </pic:spPr>
                </pic:pic>
              </a:graphicData>
            </a:graphic>
          </wp:inline>
        </w:drawing>
      </w:r>
    </w:p>
    <w:p w:rsidR="009A17CE" w:rsidRPr="009A17CE" w:rsidRDefault="009A17CE" w:rsidP="003E0108">
      <w:pPr>
        <w:pStyle w:val="Legenda"/>
        <w:spacing w:after="240"/>
        <w:jc w:val="center"/>
        <w:rPr>
          <w:rFonts w:asciiTheme="minorHAnsi" w:hAnsiTheme="minorHAnsi" w:cstheme="minorHAnsi"/>
          <w:lang w:val="pl-PL"/>
        </w:rPr>
      </w:pPr>
      <w:r w:rsidRPr="009A17CE">
        <w:rPr>
          <w:rFonts w:asciiTheme="minorHAnsi" w:hAnsiTheme="minorHAnsi" w:cstheme="minorHAnsi"/>
        </w:rPr>
        <w:t xml:space="preserve">Rys. </w:t>
      </w:r>
      <w:r w:rsidRPr="009A17CE">
        <w:rPr>
          <w:rFonts w:asciiTheme="minorHAnsi" w:hAnsiTheme="minorHAnsi" w:cstheme="minorHAnsi"/>
        </w:rPr>
        <w:fldChar w:fldCharType="begin"/>
      </w:r>
      <w:r w:rsidRPr="009A17CE">
        <w:rPr>
          <w:rFonts w:asciiTheme="minorHAnsi" w:hAnsiTheme="minorHAnsi" w:cstheme="minorHAnsi"/>
        </w:rPr>
        <w:instrText xml:space="preserve"> SEQ Rys. \* ARABIC </w:instrText>
      </w:r>
      <w:r w:rsidRPr="009A17CE">
        <w:rPr>
          <w:rFonts w:asciiTheme="minorHAnsi" w:hAnsiTheme="minorHAnsi" w:cstheme="minorHAnsi"/>
        </w:rPr>
        <w:fldChar w:fldCharType="separate"/>
      </w:r>
      <w:r w:rsidRPr="009A17CE">
        <w:rPr>
          <w:rFonts w:asciiTheme="minorHAnsi" w:hAnsiTheme="minorHAnsi" w:cstheme="minorHAnsi"/>
          <w:noProof/>
        </w:rPr>
        <w:t>1</w:t>
      </w:r>
      <w:r w:rsidRPr="009A17CE">
        <w:rPr>
          <w:rFonts w:asciiTheme="minorHAnsi" w:hAnsiTheme="minorHAnsi" w:cstheme="minorHAnsi"/>
        </w:rPr>
        <w:fldChar w:fldCharType="end"/>
      </w:r>
      <w:r w:rsidRPr="009A17CE">
        <w:rPr>
          <w:rFonts w:asciiTheme="minorHAnsi" w:hAnsiTheme="minorHAnsi" w:cstheme="minorHAnsi"/>
        </w:rPr>
        <w:t xml:space="preserve"> Po lewej – widok stanowiska</w:t>
      </w:r>
      <w:r w:rsidRPr="009A17CE">
        <w:rPr>
          <w:rFonts w:asciiTheme="minorHAnsi" w:hAnsiTheme="minorHAnsi" w:cstheme="minorHAnsi"/>
          <w:lang w:val="pl-PL"/>
        </w:rPr>
        <w:t xml:space="preserve">; środek – stanowisko w trakcie pracy; po prawej – wyprodukowane materiały </w:t>
      </w:r>
      <w:r w:rsidRPr="004F133F">
        <w:rPr>
          <w:rFonts w:asciiTheme="minorHAnsi" w:hAnsiTheme="minorHAnsi" w:cstheme="minorHAnsi"/>
          <w:color w:val="auto"/>
          <w:lang w:val="pl-PL"/>
        </w:rPr>
        <w:t>węglow</w:t>
      </w:r>
      <w:r w:rsidR="004F133F" w:rsidRPr="004F133F">
        <w:rPr>
          <w:rFonts w:asciiTheme="minorHAnsi" w:hAnsiTheme="minorHAnsi" w:cstheme="minorHAnsi"/>
          <w:color w:val="auto"/>
          <w:lang w:val="pl-PL"/>
        </w:rPr>
        <w:t>e.</w:t>
      </w:r>
    </w:p>
    <w:p w:rsidR="006F5574" w:rsidRDefault="006F5574" w:rsidP="009A17CE">
      <w:pPr>
        <w:pStyle w:val="Akapitzlist"/>
        <w:numPr>
          <w:ilvl w:val="0"/>
          <w:numId w:val="3"/>
        </w:numPr>
        <w:jc w:val="both"/>
        <w:rPr>
          <w:lang w:val="pl-PL"/>
        </w:rPr>
      </w:pPr>
      <w:r>
        <w:rPr>
          <w:lang w:val="pl-PL"/>
        </w:rPr>
        <w:t>Ulokowanie</w:t>
      </w:r>
      <w:r w:rsidR="00744775">
        <w:rPr>
          <w:lang w:val="pl-PL"/>
        </w:rPr>
        <w:t xml:space="preserve">, podłączenie </w:t>
      </w:r>
      <w:r>
        <w:rPr>
          <w:lang w:val="pl-PL"/>
        </w:rPr>
        <w:t>aparatury</w:t>
      </w:r>
      <w:r w:rsidR="00744775">
        <w:rPr>
          <w:lang w:val="pl-PL"/>
        </w:rPr>
        <w:t>. W ramach projektu w laboratorium zostanie ulokowana następująca aparatura:</w:t>
      </w:r>
    </w:p>
    <w:p w:rsidR="000E7BF6" w:rsidRDefault="000E7BF6" w:rsidP="000E7BF6">
      <w:pPr>
        <w:pStyle w:val="Akapitzlist"/>
        <w:jc w:val="both"/>
        <w:rPr>
          <w:lang w:val="pl-PL"/>
        </w:rPr>
      </w:pPr>
    </w:p>
    <w:p w:rsidR="00744775" w:rsidRPr="000E7BF6" w:rsidRDefault="00744775" w:rsidP="009A17CE">
      <w:pPr>
        <w:pStyle w:val="Akapitzlist"/>
        <w:numPr>
          <w:ilvl w:val="1"/>
          <w:numId w:val="3"/>
        </w:numPr>
        <w:spacing w:before="240"/>
        <w:jc w:val="both"/>
        <w:rPr>
          <w:b/>
          <w:lang w:val="pl-PL"/>
        </w:rPr>
      </w:pPr>
      <w:r w:rsidRPr="000E7BF6">
        <w:rPr>
          <w:b/>
          <w:lang w:val="pl-PL"/>
        </w:rPr>
        <w:t xml:space="preserve">Stanowisko laboratoryjne do </w:t>
      </w:r>
      <w:r w:rsidR="0053697D" w:rsidRPr="000E7BF6">
        <w:rPr>
          <w:b/>
          <w:lang w:val="pl-PL"/>
        </w:rPr>
        <w:t xml:space="preserve">niskociśnieniowego </w:t>
      </w:r>
      <w:r w:rsidRPr="000E7BF6">
        <w:rPr>
          <w:b/>
          <w:lang w:val="pl-PL"/>
        </w:rPr>
        <w:t>magazynowania wodoru</w:t>
      </w:r>
    </w:p>
    <w:p w:rsidR="00C63F32" w:rsidRDefault="0053697D" w:rsidP="00C63F32">
      <w:pPr>
        <w:jc w:val="both"/>
        <w:rPr>
          <w:lang w:val="pl-PL"/>
        </w:rPr>
      </w:pPr>
      <w:r>
        <w:rPr>
          <w:lang w:val="pl-PL"/>
        </w:rPr>
        <w:t>Stanowisko laboratoryjne do magazynowania wodoru</w:t>
      </w:r>
      <w:r w:rsidR="003E0108">
        <w:rPr>
          <w:lang w:val="pl-PL"/>
        </w:rPr>
        <w:t xml:space="preserve"> (Rys.2)</w:t>
      </w:r>
      <w:r>
        <w:rPr>
          <w:lang w:val="pl-PL"/>
        </w:rPr>
        <w:t xml:space="preserve">, pozwala na eksperymentalne wyznaczenie pojemności jakie można uzyskać przy niskich ciśnieniach, wykorzystując nowoczesne materiały węglowe, wytworzone przy pomocy aparatury sprowadzonej z Montpellier. </w:t>
      </w:r>
    </w:p>
    <w:p w:rsidR="00C63F32" w:rsidRPr="00AA0D29" w:rsidRDefault="0066166D" w:rsidP="00C63F32">
      <w:pPr>
        <w:jc w:val="center"/>
        <w:rPr>
          <w:rFonts w:ascii="Times New Roman" w:hAnsi="Times New Roman" w:cs="Times New Roman"/>
          <w:b/>
          <w:lang w:val="pl-PL"/>
        </w:rPr>
      </w:pPr>
      <w:r w:rsidRPr="00AA0D29">
        <w:rPr>
          <w:noProof/>
          <w:lang w:val="pl-PL"/>
        </w:rPr>
        <w:lastRenderedPageBreak/>
        <w:t xml:space="preserve"> </w:t>
      </w:r>
      <w:r>
        <w:rPr>
          <w:noProof/>
          <w:lang w:val="en-US" w:eastAsia="en-US"/>
        </w:rPr>
        <w:drawing>
          <wp:inline distT="0" distB="0" distL="0" distR="0" wp14:anchorId="136C5D83" wp14:editId="0C1D8A30">
            <wp:extent cx="2906134" cy="3511546"/>
            <wp:effectExtent l="0" t="0" r="8890" b="0"/>
            <wp:docPr id="1" name="Obraz 1" descr="Obraz zawierający urząd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urządzenie&#10;&#10;Opis wygenerowany automatycznie"/>
                    <pic:cNvPicPr/>
                  </pic:nvPicPr>
                  <pic:blipFill>
                    <a:blip r:embed="rId11"/>
                    <a:stretch>
                      <a:fillRect/>
                    </a:stretch>
                  </pic:blipFill>
                  <pic:spPr>
                    <a:xfrm>
                      <a:off x="0" y="0"/>
                      <a:ext cx="2969721" cy="3588380"/>
                    </a:xfrm>
                    <a:prstGeom prst="rect">
                      <a:avLst/>
                    </a:prstGeom>
                  </pic:spPr>
                </pic:pic>
              </a:graphicData>
            </a:graphic>
          </wp:inline>
        </w:drawing>
      </w:r>
    </w:p>
    <w:p w:rsidR="00143133" w:rsidRDefault="00C63F32" w:rsidP="00143133">
      <w:pPr>
        <w:pStyle w:val="Legenda"/>
        <w:spacing w:after="240"/>
        <w:jc w:val="center"/>
        <w:rPr>
          <w:rFonts w:asciiTheme="minorHAnsi" w:hAnsiTheme="minorHAnsi" w:cstheme="minorHAnsi"/>
          <w:lang w:val="pl-PL"/>
        </w:rPr>
      </w:pPr>
      <w:r w:rsidRPr="009A17CE">
        <w:rPr>
          <w:rFonts w:asciiTheme="minorHAnsi" w:hAnsiTheme="minorHAnsi" w:cstheme="minorHAnsi"/>
        </w:rPr>
        <w:t xml:space="preserve">Rys. </w:t>
      </w:r>
      <w:r w:rsidRPr="009A17CE">
        <w:rPr>
          <w:rFonts w:asciiTheme="minorHAnsi" w:hAnsiTheme="minorHAnsi" w:cstheme="minorHAnsi"/>
        </w:rPr>
        <w:fldChar w:fldCharType="begin"/>
      </w:r>
      <w:r w:rsidRPr="009A17CE">
        <w:rPr>
          <w:rFonts w:asciiTheme="minorHAnsi" w:hAnsiTheme="minorHAnsi" w:cstheme="minorHAnsi"/>
        </w:rPr>
        <w:instrText xml:space="preserve"> SEQ Rys. \* ARABIC </w:instrText>
      </w:r>
      <w:r w:rsidRPr="009A17CE">
        <w:rPr>
          <w:rFonts w:asciiTheme="minorHAnsi" w:hAnsiTheme="minorHAnsi" w:cstheme="minorHAnsi"/>
        </w:rPr>
        <w:fldChar w:fldCharType="separate"/>
      </w:r>
      <w:r w:rsidR="009A17CE" w:rsidRPr="009A17CE">
        <w:rPr>
          <w:rFonts w:asciiTheme="minorHAnsi" w:hAnsiTheme="minorHAnsi" w:cstheme="minorHAnsi"/>
          <w:noProof/>
        </w:rPr>
        <w:t>2</w:t>
      </w:r>
      <w:r w:rsidRPr="009A17CE">
        <w:rPr>
          <w:rFonts w:asciiTheme="minorHAnsi" w:hAnsiTheme="minorHAnsi" w:cstheme="minorHAnsi"/>
        </w:rPr>
        <w:fldChar w:fldCharType="end"/>
      </w:r>
      <w:r w:rsidRPr="009A17CE">
        <w:rPr>
          <w:rFonts w:asciiTheme="minorHAnsi" w:hAnsiTheme="minorHAnsi" w:cstheme="minorHAnsi"/>
        </w:rPr>
        <w:t xml:space="preserve"> </w:t>
      </w:r>
      <w:r w:rsidR="00D63634">
        <w:rPr>
          <w:rFonts w:asciiTheme="minorHAnsi" w:hAnsiTheme="minorHAnsi" w:cstheme="minorHAnsi"/>
        </w:rPr>
        <w:t>S</w:t>
      </w:r>
      <w:proofErr w:type="spellStart"/>
      <w:r w:rsidR="000E7BF6" w:rsidRPr="009A17CE">
        <w:rPr>
          <w:rFonts w:asciiTheme="minorHAnsi" w:hAnsiTheme="minorHAnsi" w:cstheme="minorHAnsi"/>
          <w:lang w:val="pl-PL"/>
        </w:rPr>
        <w:t>tanowi</w:t>
      </w:r>
      <w:r w:rsidR="000E7BF6">
        <w:rPr>
          <w:rFonts w:asciiTheme="minorHAnsi" w:hAnsiTheme="minorHAnsi" w:cstheme="minorHAnsi"/>
          <w:lang w:val="pl-PL"/>
        </w:rPr>
        <w:t>sko</w:t>
      </w:r>
      <w:proofErr w:type="spellEnd"/>
      <w:r w:rsidRPr="009A17CE">
        <w:rPr>
          <w:rFonts w:asciiTheme="minorHAnsi" w:hAnsiTheme="minorHAnsi" w:cstheme="minorHAnsi"/>
          <w:lang w:val="pl-PL"/>
        </w:rPr>
        <w:t xml:space="preserve"> pomiarowe do magazynowania wodoru</w:t>
      </w:r>
      <w:r w:rsidR="0066166D" w:rsidRPr="009A17CE">
        <w:rPr>
          <w:rFonts w:asciiTheme="minorHAnsi" w:hAnsiTheme="minorHAnsi" w:cstheme="minorHAnsi"/>
          <w:lang w:val="pl-PL"/>
        </w:rPr>
        <w:t xml:space="preserve"> </w:t>
      </w:r>
    </w:p>
    <w:p w:rsidR="00D63634" w:rsidRPr="00D63634" w:rsidRDefault="00D63634" w:rsidP="00D63634">
      <w:pPr>
        <w:rPr>
          <w:lang w:val="pl-PL" w:eastAsia="en-AU"/>
        </w:rPr>
      </w:pPr>
    </w:p>
    <w:p w:rsidR="009D5B31" w:rsidRPr="000E7BF6" w:rsidRDefault="009D5B31" w:rsidP="00DA04F0">
      <w:pPr>
        <w:pStyle w:val="Bezodstpw"/>
        <w:numPr>
          <w:ilvl w:val="1"/>
          <w:numId w:val="3"/>
        </w:numPr>
        <w:rPr>
          <w:b/>
          <w:lang w:val="pl-PL"/>
        </w:rPr>
      </w:pPr>
      <w:proofErr w:type="spellStart"/>
      <w:r w:rsidRPr="000E7BF6">
        <w:rPr>
          <w:b/>
          <w:lang w:val="pl-PL"/>
        </w:rPr>
        <w:t>Nexa</w:t>
      </w:r>
      <w:proofErr w:type="spellEnd"/>
      <w:r w:rsidR="000E7BF6" w:rsidRPr="000E7BF6">
        <w:rPr>
          <w:b/>
          <w:lang w:val="pl-PL"/>
        </w:rPr>
        <w:t xml:space="preserve"> -</w:t>
      </w:r>
      <w:r w:rsidRPr="000E7BF6">
        <w:rPr>
          <w:b/>
          <w:lang w:val="pl-PL"/>
        </w:rPr>
        <w:t xml:space="preserve"> </w:t>
      </w:r>
      <w:r w:rsidR="0071004F" w:rsidRPr="000E7BF6">
        <w:rPr>
          <w:b/>
          <w:lang w:val="pl-PL"/>
        </w:rPr>
        <w:t xml:space="preserve">układ testowy  układów elektrolizer- magazyn- ogniwo paliwowe  do mocy 1.2 kW </w:t>
      </w:r>
    </w:p>
    <w:p w:rsidR="0059557F" w:rsidRDefault="0059557F" w:rsidP="00642ED4">
      <w:pPr>
        <w:pStyle w:val="Bezodstpw"/>
        <w:rPr>
          <w:lang w:val="pl-PL"/>
        </w:rPr>
      </w:pPr>
    </w:p>
    <w:p w:rsidR="009C16EA" w:rsidRDefault="009C16EA" w:rsidP="00263235">
      <w:pPr>
        <w:pStyle w:val="Bezodstpw"/>
        <w:jc w:val="both"/>
        <w:rPr>
          <w:lang w:val="pl-PL"/>
        </w:rPr>
      </w:pPr>
      <w:proofErr w:type="spellStart"/>
      <w:r w:rsidRPr="009C16EA">
        <w:rPr>
          <w:lang w:val="pl-PL"/>
        </w:rPr>
        <w:t>Nexa</w:t>
      </w:r>
      <w:proofErr w:type="spellEnd"/>
      <w:r w:rsidRPr="009C16EA">
        <w:rPr>
          <w:lang w:val="pl-PL"/>
        </w:rPr>
        <w:t xml:space="preserve"> firmy </w:t>
      </w:r>
      <w:proofErr w:type="spellStart"/>
      <w:r w:rsidRPr="009C16EA">
        <w:rPr>
          <w:lang w:val="pl-PL"/>
        </w:rPr>
        <w:t>Ballard</w:t>
      </w:r>
      <w:proofErr w:type="spellEnd"/>
      <w:r w:rsidRPr="009C16EA">
        <w:rPr>
          <w:lang w:val="pl-PL"/>
        </w:rPr>
        <w:t xml:space="preserve">® jest systemem ogniw paliwowych niskotemperaturowych z membraną </w:t>
      </w:r>
      <w:proofErr w:type="spellStart"/>
      <w:r w:rsidRPr="009C16EA">
        <w:rPr>
          <w:lang w:val="pl-PL"/>
        </w:rPr>
        <w:t>protonowymienną</w:t>
      </w:r>
      <w:proofErr w:type="spellEnd"/>
      <w:r w:rsidRPr="009C16EA">
        <w:rPr>
          <w:lang w:val="pl-PL"/>
        </w:rPr>
        <w:t xml:space="preserve"> (PEMFC- proton exchange membranę </w:t>
      </w:r>
      <w:proofErr w:type="spellStart"/>
      <w:r w:rsidRPr="009C16EA">
        <w:rPr>
          <w:lang w:val="pl-PL"/>
        </w:rPr>
        <w:t>fuel</w:t>
      </w:r>
      <w:proofErr w:type="spellEnd"/>
      <w:r w:rsidRPr="009C16EA">
        <w:rPr>
          <w:lang w:val="pl-PL"/>
        </w:rPr>
        <w:t xml:space="preserve"> </w:t>
      </w:r>
      <w:r w:rsidR="000E7BF6">
        <w:rPr>
          <w:lang w:val="pl-PL"/>
        </w:rPr>
        <w:t>cel – Rys. 4</w:t>
      </w:r>
      <w:r w:rsidRPr="009C16EA">
        <w:rPr>
          <w:lang w:val="pl-PL"/>
        </w:rPr>
        <w:t xml:space="preserve">). </w:t>
      </w:r>
      <w:r w:rsidR="0059557F">
        <w:rPr>
          <w:lang w:val="pl-PL"/>
        </w:rPr>
        <w:t xml:space="preserve"> Układ pozwala na ocenę efektywności produkcji energii elektrycznej dla różnych parametrów oraz w zależności od obciążenia. </w:t>
      </w:r>
      <w:r w:rsidRPr="009C16EA">
        <w:rPr>
          <w:lang w:val="pl-PL"/>
        </w:rPr>
        <w:t>Paliwem wymaganym do zasilania jest wodór o klasie czystości 5.0 (99,999%). Sercem całego układu jest stos ogniw paliwowych składający się z 46 celek (</w:t>
      </w:r>
      <w:r w:rsidR="000E7BF6">
        <w:rPr>
          <w:lang w:val="pl-PL"/>
        </w:rPr>
        <w:t>R</w:t>
      </w:r>
      <w:r w:rsidRPr="009C16EA">
        <w:rPr>
          <w:lang w:val="pl-PL"/>
        </w:rPr>
        <w:t>ys.</w:t>
      </w:r>
      <w:r w:rsidR="000E7BF6">
        <w:rPr>
          <w:lang w:val="pl-PL"/>
        </w:rPr>
        <w:t xml:space="preserve"> </w:t>
      </w:r>
      <w:r w:rsidRPr="009C16EA">
        <w:rPr>
          <w:lang w:val="pl-PL"/>
        </w:rPr>
        <w:t xml:space="preserve">3). Ogniwo to samoczynnie podtrzymuje swoją pracę </w:t>
      </w:r>
      <w:r w:rsidR="000E7BF6">
        <w:rPr>
          <w:lang w:val="pl-PL"/>
        </w:rPr>
        <w:br/>
      </w:r>
      <w:r w:rsidRPr="009C16EA">
        <w:rPr>
          <w:lang w:val="pl-PL"/>
        </w:rPr>
        <w:t>i jedynie podczas rozruchu wymaga zasilania z zewnętrznego źródła prądu stałego o napięciu 18</w:t>
      </w:r>
      <w:r w:rsidR="000E7BF6">
        <w:rPr>
          <w:lang w:val="pl-PL"/>
        </w:rPr>
        <w:t xml:space="preserve"> </w:t>
      </w:r>
      <w:r w:rsidRPr="009C16EA">
        <w:rPr>
          <w:lang w:val="pl-PL"/>
        </w:rPr>
        <w:t>-</w:t>
      </w:r>
      <w:r w:rsidR="000E7BF6">
        <w:rPr>
          <w:lang w:val="pl-PL"/>
        </w:rPr>
        <w:t xml:space="preserve"> </w:t>
      </w:r>
      <w:r w:rsidRPr="009C16EA">
        <w:rPr>
          <w:lang w:val="pl-PL"/>
        </w:rPr>
        <w:t xml:space="preserve">26 V </w:t>
      </w:r>
      <w:r w:rsidR="000E7BF6">
        <w:rPr>
          <w:lang w:val="pl-PL"/>
        </w:rPr>
        <w:br/>
      </w:r>
      <w:r w:rsidRPr="009C16EA">
        <w:rPr>
          <w:lang w:val="pl-PL"/>
        </w:rPr>
        <w:t>i prądzie 10 A (zasilacz stabilizowany lub bateria akumulatorów).</w:t>
      </w:r>
    </w:p>
    <w:p w:rsidR="00576C50" w:rsidRPr="009C16EA" w:rsidRDefault="00576C50" w:rsidP="00263235">
      <w:pPr>
        <w:pStyle w:val="Bezodstpw"/>
        <w:jc w:val="both"/>
        <w:rPr>
          <w:lang w:val="pl-PL"/>
        </w:rPr>
      </w:pPr>
    </w:p>
    <w:p w:rsidR="003E1FCD" w:rsidRDefault="003E1FCD" w:rsidP="00475B6E">
      <w:pPr>
        <w:spacing w:line="360" w:lineRule="auto"/>
        <w:jc w:val="center"/>
        <w:rPr>
          <w:lang w:val="pl-PL"/>
        </w:rPr>
      </w:pPr>
      <w:r>
        <w:rPr>
          <w:noProof/>
          <w:lang w:val="en-US" w:eastAsia="en-US"/>
        </w:rPr>
        <w:drawing>
          <wp:inline distT="0" distB="0" distL="0" distR="0" wp14:anchorId="07E4E5A8" wp14:editId="3C8E7BAD">
            <wp:extent cx="3176270" cy="2682240"/>
            <wp:effectExtent l="0" t="0" r="5080" b="3810"/>
            <wp:docPr id="5" name="Obraz 5"/>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6270" cy="2682240"/>
                    </a:xfrm>
                    <a:prstGeom prst="rect">
                      <a:avLst/>
                    </a:prstGeom>
                    <a:noFill/>
                    <a:ln>
                      <a:noFill/>
                    </a:ln>
                  </pic:spPr>
                </pic:pic>
              </a:graphicData>
            </a:graphic>
          </wp:inline>
        </w:drawing>
      </w:r>
    </w:p>
    <w:p w:rsidR="00291CE4" w:rsidRDefault="003E1FCD" w:rsidP="00576C50">
      <w:pPr>
        <w:spacing w:line="360" w:lineRule="auto"/>
        <w:jc w:val="center"/>
        <w:rPr>
          <w:i/>
          <w:color w:val="44546A" w:themeColor="text2"/>
          <w:sz w:val="18"/>
          <w:szCs w:val="18"/>
          <w:lang w:val="pl-PL"/>
        </w:rPr>
      </w:pPr>
      <w:r w:rsidRPr="005D7405">
        <w:rPr>
          <w:i/>
          <w:color w:val="44546A" w:themeColor="text2"/>
          <w:sz w:val="18"/>
          <w:szCs w:val="18"/>
          <w:lang w:val="pl-PL"/>
        </w:rPr>
        <w:t>Rys.</w:t>
      </w:r>
      <w:r w:rsidR="000E7BF6">
        <w:rPr>
          <w:i/>
          <w:color w:val="44546A" w:themeColor="text2"/>
          <w:sz w:val="18"/>
          <w:szCs w:val="18"/>
          <w:lang w:val="pl-PL"/>
        </w:rPr>
        <w:t xml:space="preserve"> </w:t>
      </w:r>
      <w:r w:rsidRPr="005D7405">
        <w:rPr>
          <w:i/>
          <w:color w:val="44546A" w:themeColor="text2"/>
          <w:sz w:val="18"/>
          <w:szCs w:val="18"/>
          <w:lang w:val="pl-PL"/>
        </w:rPr>
        <w:t xml:space="preserve">3 Stos ogniw paliwowych </w:t>
      </w:r>
      <w:proofErr w:type="spellStart"/>
      <w:r w:rsidRPr="005D7405">
        <w:rPr>
          <w:i/>
          <w:color w:val="44546A" w:themeColor="text2"/>
          <w:sz w:val="18"/>
          <w:szCs w:val="18"/>
          <w:lang w:val="pl-PL"/>
        </w:rPr>
        <w:t>Nexa</w:t>
      </w:r>
      <w:proofErr w:type="spellEnd"/>
    </w:p>
    <w:p w:rsidR="00576C50" w:rsidRPr="00576C50" w:rsidRDefault="00576C50" w:rsidP="00576C50">
      <w:pPr>
        <w:spacing w:line="360" w:lineRule="auto"/>
        <w:jc w:val="center"/>
        <w:rPr>
          <w:i/>
          <w:color w:val="44546A" w:themeColor="text2"/>
          <w:sz w:val="18"/>
          <w:szCs w:val="18"/>
          <w:lang w:val="pl-PL"/>
        </w:rPr>
      </w:pPr>
    </w:p>
    <w:p w:rsidR="00291CE4" w:rsidRPr="009C16EA" w:rsidRDefault="00291CE4" w:rsidP="00475B6E">
      <w:pPr>
        <w:spacing w:line="360" w:lineRule="auto"/>
        <w:jc w:val="center"/>
        <w:rPr>
          <w:lang w:val="pl-PL"/>
        </w:rPr>
      </w:pPr>
      <w:r>
        <w:rPr>
          <w:noProof/>
          <w:lang w:val="en-US" w:eastAsia="en-US"/>
        </w:rPr>
        <w:drawing>
          <wp:inline distT="0" distB="0" distL="0" distR="0" wp14:anchorId="59651491" wp14:editId="30D5173A">
            <wp:extent cx="3219386" cy="3276600"/>
            <wp:effectExtent l="0" t="0" r="63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0692" cy="3308462"/>
                    </a:xfrm>
                    <a:prstGeom prst="rect">
                      <a:avLst/>
                    </a:prstGeom>
                    <a:noFill/>
                  </pic:spPr>
                </pic:pic>
              </a:graphicData>
            </a:graphic>
          </wp:inline>
        </w:drawing>
      </w:r>
    </w:p>
    <w:p w:rsidR="009C16EA" w:rsidRPr="005D7405" w:rsidRDefault="00291CE4" w:rsidP="00475B6E">
      <w:pPr>
        <w:spacing w:line="360" w:lineRule="auto"/>
        <w:jc w:val="center"/>
        <w:rPr>
          <w:i/>
          <w:color w:val="44546A" w:themeColor="text2"/>
          <w:sz w:val="18"/>
          <w:szCs w:val="18"/>
          <w:lang w:val="pl-PL"/>
        </w:rPr>
      </w:pPr>
      <w:r w:rsidRPr="005D7405">
        <w:rPr>
          <w:i/>
          <w:color w:val="44546A" w:themeColor="text2"/>
          <w:sz w:val="18"/>
          <w:szCs w:val="18"/>
          <w:lang w:val="pl-PL"/>
        </w:rPr>
        <w:t>Rys.</w:t>
      </w:r>
      <w:r w:rsidR="000E7BF6">
        <w:rPr>
          <w:i/>
          <w:color w:val="44546A" w:themeColor="text2"/>
          <w:sz w:val="18"/>
          <w:szCs w:val="18"/>
          <w:lang w:val="pl-PL"/>
        </w:rPr>
        <w:t xml:space="preserve"> </w:t>
      </w:r>
      <w:r w:rsidRPr="005D7405">
        <w:rPr>
          <w:i/>
          <w:color w:val="44546A" w:themeColor="text2"/>
          <w:sz w:val="18"/>
          <w:szCs w:val="18"/>
          <w:lang w:val="pl-PL"/>
        </w:rPr>
        <w:t>4</w:t>
      </w:r>
      <w:r w:rsidR="00CA116B" w:rsidRPr="005D7405">
        <w:rPr>
          <w:i/>
          <w:color w:val="44546A" w:themeColor="text2"/>
          <w:sz w:val="18"/>
          <w:szCs w:val="18"/>
          <w:lang w:val="pl-PL"/>
        </w:rPr>
        <w:t xml:space="preserve"> System </w:t>
      </w:r>
      <w:proofErr w:type="spellStart"/>
      <w:r w:rsidR="00CA116B" w:rsidRPr="005D7405">
        <w:rPr>
          <w:i/>
          <w:color w:val="44546A" w:themeColor="text2"/>
          <w:sz w:val="18"/>
          <w:szCs w:val="18"/>
          <w:lang w:val="pl-PL"/>
        </w:rPr>
        <w:t>Nexa</w:t>
      </w:r>
      <w:proofErr w:type="spellEnd"/>
    </w:p>
    <w:p w:rsidR="00744775" w:rsidRPr="000E7BF6" w:rsidRDefault="000E7BF6" w:rsidP="00744775">
      <w:pPr>
        <w:pStyle w:val="Akapitzlist"/>
        <w:numPr>
          <w:ilvl w:val="1"/>
          <w:numId w:val="3"/>
        </w:numPr>
        <w:jc w:val="both"/>
        <w:rPr>
          <w:b/>
          <w:lang w:val="pl-PL"/>
        </w:rPr>
      </w:pPr>
      <w:r w:rsidRPr="000E7BF6">
        <w:rPr>
          <w:b/>
          <w:lang w:val="pl-PL"/>
        </w:rPr>
        <w:t>S</w:t>
      </w:r>
      <w:r w:rsidR="0088773F" w:rsidRPr="000E7BF6">
        <w:rPr>
          <w:b/>
          <w:lang w:val="pl-PL"/>
        </w:rPr>
        <w:t xml:space="preserve">tanowisko oparte o </w:t>
      </w:r>
      <w:r w:rsidR="006C42A6" w:rsidRPr="000E7BF6">
        <w:rPr>
          <w:b/>
          <w:lang w:val="pl-PL"/>
        </w:rPr>
        <w:t>elektrolizer</w:t>
      </w:r>
      <w:r w:rsidR="0088773F" w:rsidRPr="000E7BF6">
        <w:rPr>
          <w:b/>
          <w:lang w:val="pl-PL"/>
        </w:rPr>
        <w:t>/ogniwo paliwowe</w:t>
      </w:r>
      <w:r w:rsidR="006C42A6" w:rsidRPr="000E7BF6">
        <w:rPr>
          <w:b/>
          <w:lang w:val="pl-PL"/>
        </w:rPr>
        <w:t xml:space="preserve"> PEM o mocy 200 W</w:t>
      </w:r>
      <w:r>
        <w:rPr>
          <w:b/>
          <w:lang w:val="pl-PL"/>
        </w:rPr>
        <w:t>.</w:t>
      </w:r>
    </w:p>
    <w:p w:rsidR="006C42A6" w:rsidRDefault="006C42A6" w:rsidP="006C42A6">
      <w:pPr>
        <w:jc w:val="both"/>
        <w:rPr>
          <w:lang w:val="pl-PL"/>
        </w:rPr>
      </w:pPr>
      <w:r w:rsidRPr="0088773F">
        <w:rPr>
          <w:lang w:val="pl-PL"/>
        </w:rPr>
        <w:t xml:space="preserve">Wydajność elektrolizera to 60 </w:t>
      </w:r>
      <w:proofErr w:type="spellStart"/>
      <w:r w:rsidRPr="0088773F">
        <w:rPr>
          <w:lang w:val="pl-PL"/>
        </w:rPr>
        <w:t>Nl</w:t>
      </w:r>
      <w:proofErr w:type="spellEnd"/>
      <w:r w:rsidRPr="0088773F">
        <w:rPr>
          <w:lang w:val="pl-PL"/>
        </w:rPr>
        <w:t xml:space="preserve">/h czystego wodoru w ciśnieniu do 6 bar. Ciśnienie robocze jest nastawialne w zakresie 1-6 bar. Elektrolizer posiada wyświetlacz, na którym prezentowane są parametry pracy takie jak napięcie oraz natężenie na stosie elektrolitycznym oraz ciśnienie pracy. Za pomocą przepływomierza, mierzony jest strumień wodoru w l/h. Zarówno licznik energii jak i przepływomierz posiadają wyjścia cyfrowe, odpowiednio RS-485 i RS-232. Dzięki temu, możliwy będzie odczyt parametrów przez system automatyki, kolekcjonowanie danych oraz ich wizualizacja. Przepływomierz posiada ponadto pomiar ciśnienia </w:t>
      </w:r>
      <w:r w:rsidR="000E7BF6">
        <w:rPr>
          <w:lang w:val="pl-PL"/>
        </w:rPr>
        <w:br/>
      </w:r>
      <w:r w:rsidRPr="0088773F">
        <w:rPr>
          <w:lang w:val="pl-PL"/>
        </w:rPr>
        <w:t>i temperatury wodoru. Elektrolizer posiada możliwość pracy na magazyn wodoru oraz na ogniwo paliwowe</w:t>
      </w:r>
      <w:r w:rsidR="000E7BF6">
        <w:rPr>
          <w:lang w:val="pl-PL"/>
        </w:rPr>
        <w:t>, z</w:t>
      </w:r>
      <w:r w:rsidR="009E3C38">
        <w:rPr>
          <w:lang w:val="pl-PL"/>
        </w:rPr>
        <w:t>djęcie stanowiska na</w:t>
      </w:r>
      <w:r w:rsidR="009A17CE">
        <w:rPr>
          <w:lang w:val="pl-PL"/>
        </w:rPr>
        <w:t xml:space="preserve"> Rys.</w:t>
      </w:r>
      <w:r w:rsidR="000E7BF6">
        <w:rPr>
          <w:lang w:val="pl-PL"/>
        </w:rPr>
        <w:t xml:space="preserve"> </w:t>
      </w:r>
      <w:r w:rsidR="008C7EF3">
        <w:rPr>
          <w:lang w:val="pl-PL"/>
        </w:rPr>
        <w:t>5</w:t>
      </w:r>
      <w:r w:rsidR="009A17CE">
        <w:rPr>
          <w:lang w:val="pl-PL"/>
        </w:rPr>
        <w:t>.</w:t>
      </w:r>
      <w:r w:rsidR="009E3C38">
        <w:rPr>
          <w:lang w:val="pl-PL"/>
        </w:rPr>
        <w:t xml:space="preserve"> </w:t>
      </w:r>
    </w:p>
    <w:p w:rsidR="00576C50" w:rsidRPr="0088773F" w:rsidRDefault="00576C50" w:rsidP="00576C50">
      <w:pPr>
        <w:jc w:val="center"/>
        <w:rPr>
          <w:lang w:val="pl-PL"/>
        </w:rPr>
      </w:pPr>
      <w:r>
        <w:rPr>
          <w:rFonts w:ascii="Times New Roman" w:hAnsi="Times New Roman" w:cs="Times New Roman"/>
          <w:noProof/>
          <w:lang w:val="en-US" w:eastAsia="en-US"/>
        </w:rPr>
        <w:drawing>
          <wp:inline distT="0" distB="0" distL="0" distR="0" wp14:anchorId="7DF5823E" wp14:editId="4E9279A3">
            <wp:extent cx="3043792" cy="2276089"/>
            <wp:effectExtent l="0" t="0" r="4445" b="0"/>
            <wp:docPr id="25" name="Obraz 25" descr="C:\Users\NASZ\AppData\Local\Microsoft\Windows\INetCache\Content.Word\WhatsApp Image 2022-04-04 at 20.28.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SZ\AppData\Local\Microsoft\Windows\INetCache\Content.Word\WhatsApp Image 2022-04-04 at 20.28.51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649" cy="2286451"/>
                    </a:xfrm>
                    <a:prstGeom prst="rect">
                      <a:avLst/>
                    </a:prstGeom>
                    <a:noFill/>
                    <a:ln>
                      <a:noFill/>
                    </a:ln>
                  </pic:spPr>
                </pic:pic>
              </a:graphicData>
            </a:graphic>
          </wp:inline>
        </w:drawing>
      </w:r>
    </w:p>
    <w:p w:rsidR="006C42A6" w:rsidRDefault="006C42A6" w:rsidP="00F47B64">
      <w:pPr>
        <w:pStyle w:val="Legenda"/>
        <w:jc w:val="center"/>
        <w:rPr>
          <w:rFonts w:asciiTheme="minorHAnsi" w:hAnsiTheme="minorHAnsi" w:cstheme="minorHAnsi"/>
        </w:rPr>
      </w:pPr>
      <w:bookmarkStart w:id="1" w:name="_Ref100735074"/>
      <w:r w:rsidRPr="009A17CE">
        <w:rPr>
          <w:rFonts w:asciiTheme="minorHAnsi" w:hAnsiTheme="minorHAnsi" w:cstheme="minorHAnsi"/>
        </w:rPr>
        <w:t xml:space="preserve">Rys. </w:t>
      </w:r>
      <w:r w:rsidR="008C7EF3">
        <w:rPr>
          <w:rFonts w:asciiTheme="minorHAnsi" w:hAnsiTheme="minorHAnsi" w:cstheme="minorHAnsi"/>
        </w:rPr>
        <w:t>5</w:t>
      </w:r>
      <w:bookmarkEnd w:id="1"/>
      <w:r w:rsidRPr="009A17CE">
        <w:rPr>
          <w:rFonts w:asciiTheme="minorHAnsi" w:hAnsiTheme="minorHAnsi" w:cstheme="minorHAnsi"/>
        </w:rPr>
        <w:t xml:space="preserve"> </w:t>
      </w:r>
      <w:r w:rsidR="000E7BF6">
        <w:rPr>
          <w:rFonts w:asciiTheme="minorHAnsi" w:hAnsiTheme="minorHAnsi" w:cstheme="minorHAnsi"/>
        </w:rPr>
        <w:t>S</w:t>
      </w:r>
      <w:r w:rsidRPr="009A17CE">
        <w:rPr>
          <w:rFonts w:asciiTheme="minorHAnsi" w:hAnsiTheme="minorHAnsi" w:cstheme="minorHAnsi"/>
        </w:rPr>
        <w:t>tanowisko</w:t>
      </w:r>
      <w:r w:rsidR="006950FD" w:rsidRPr="009A17CE">
        <w:rPr>
          <w:rFonts w:asciiTheme="minorHAnsi" w:hAnsiTheme="minorHAnsi" w:cstheme="minorHAnsi"/>
        </w:rPr>
        <w:t xml:space="preserve"> </w:t>
      </w:r>
      <w:r w:rsidRPr="009A17CE">
        <w:rPr>
          <w:rFonts w:asciiTheme="minorHAnsi" w:hAnsiTheme="minorHAnsi" w:cstheme="minorHAnsi"/>
        </w:rPr>
        <w:t>do wytwarzania wodoru</w:t>
      </w:r>
      <w:r w:rsidR="006950FD" w:rsidRPr="009A17CE">
        <w:rPr>
          <w:rFonts w:asciiTheme="minorHAnsi" w:hAnsiTheme="minorHAnsi" w:cstheme="minorHAnsi"/>
        </w:rPr>
        <w:t xml:space="preserve"> (elektrolizer PEM)</w:t>
      </w:r>
      <w:r w:rsidRPr="009A17CE">
        <w:rPr>
          <w:rFonts w:asciiTheme="minorHAnsi" w:hAnsiTheme="minorHAnsi" w:cstheme="minorHAnsi"/>
        </w:rPr>
        <w:t xml:space="preserve"> oraz produkcji energii elektrycznej </w:t>
      </w:r>
      <w:r w:rsidR="006950FD" w:rsidRPr="009A17CE">
        <w:rPr>
          <w:rFonts w:asciiTheme="minorHAnsi" w:hAnsiTheme="minorHAnsi" w:cstheme="minorHAnsi"/>
        </w:rPr>
        <w:t>(</w:t>
      </w:r>
      <w:r w:rsidRPr="009A17CE">
        <w:rPr>
          <w:rFonts w:asciiTheme="minorHAnsi" w:hAnsiTheme="minorHAnsi" w:cstheme="minorHAnsi"/>
        </w:rPr>
        <w:t>ogniwo paliwowe</w:t>
      </w:r>
      <w:r w:rsidR="006950FD" w:rsidRPr="009A17CE">
        <w:rPr>
          <w:rFonts w:asciiTheme="minorHAnsi" w:hAnsiTheme="minorHAnsi" w:cstheme="minorHAnsi"/>
        </w:rPr>
        <w:t xml:space="preserve"> PEM</w:t>
      </w:r>
      <w:r w:rsidRPr="009A17CE">
        <w:rPr>
          <w:rFonts w:asciiTheme="minorHAnsi" w:hAnsiTheme="minorHAnsi" w:cstheme="minorHAnsi"/>
        </w:rPr>
        <w:t>).</w:t>
      </w:r>
    </w:p>
    <w:p w:rsidR="00143133" w:rsidRDefault="00143133" w:rsidP="00143133">
      <w:pPr>
        <w:rPr>
          <w:lang w:val="pl" w:eastAsia="en-AU"/>
        </w:rPr>
      </w:pPr>
    </w:p>
    <w:p w:rsidR="000E7BF6" w:rsidRPr="00A45940" w:rsidRDefault="000E7BF6" w:rsidP="000E7BF6">
      <w:pPr>
        <w:pStyle w:val="Akapitzlist"/>
        <w:numPr>
          <w:ilvl w:val="1"/>
          <w:numId w:val="3"/>
        </w:numPr>
        <w:rPr>
          <w:b/>
          <w:lang w:val="pl" w:eastAsia="en-AU"/>
        </w:rPr>
      </w:pPr>
      <w:r w:rsidRPr="00A45940">
        <w:rPr>
          <w:b/>
          <w:lang w:val="pl" w:eastAsia="en-AU"/>
        </w:rPr>
        <w:lastRenderedPageBreak/>
        <w:t>Inne stanowiska</w:t>
      </w:r>
    </w:p>
    <w:p w:rsidR="00143133" w:rsidRPr="00A45940" w:rsidRDefault="00143133" w:rsidP="00A45940">
      <w:pPr>
        <w:rPr>
          <w:lang w:val="pl" w:eastAsia="en-AU"/>
        </w:rPr>
      </w:pPr>
      <w:r w:rsidRPr="00A45940">
        <w:rPr>
          <w:lang w:val="pl" w:eastAsia="en-AU"/>
        </w:rPr>
        <w:t xml:space="preserve">Dodatkowo przewidziana jest </w:t>
      </w:r>
      <w:r w:rsidR="005F4386" w:rsidRPr="00A45940">
        <w:rPr>
          <w:lang w:val="pl" w:eastAsia="en-AU"/>
        </w:rPr>
        <w:t>instalacja</w:t>
      </w:r>
      <w:r w:rsidRPr="00A45940">
        <w:rPr>
          <w:lang w:val="pl" w:eastAsia="en-AU"/>
        </w:rPr>
        <w:t xml:space="preserve"> stanowisk</w:t>
      </w:r>
      <w:r w:rsidR="005F4386" w:rsidRPr="00A45940">
        <w:rPr>
          <w:lang w:val="pl" w:eastAsia="en-AU"/>
        </w:rPr>
        <w:t>:</w:t>
      </w:r>
      <w:r w:rsidRPr="00A45940">
        <w:rPr>
          <w:lang w:val="pl" w:eastAsia="en-AU"/>
        </w:rPr>
        <w:t xml:space="preserve"> do impregnacji ram węglowych oraz do produkcji wodoru metodą ciemnej fermentacji z układem zbierania biogazu bogatego w wodór</w:t>
      </w:r>
      <w:r w:rsidR="005F4386" w:rsidRPr="00A45940">
        <w:rPr>
          <w:lang w:val="pl" w:eastAsia="en-AU"/>
        </w:rPr>
        <w:t>.</w:t>
      </w:r>
    </w:p>
    <w:p w:rsidR="00143133" w:rsidRPr="00143133" w:rsidRDefault="00143133" w:rsidP="00143133">
      <w:pPr>
        <w:rPr>
          <w:lang w:val="pl" w:eastAsia="en-AU"/>
        </w:rPr>
      </w:pPr>
    </w:p>
    <w:p w:rsidR="00AC4C78" w:rsidRPr="00FC3DFE" w:rsidRDefault="00FC3DFE" w:rsidP="00215AAC">
      <w:pPr>
        <w:rPr>
          <w:b/>
          <w:bCs/>
          <w:lang w:val="pl-PL"/>
        </w:rPr>
      </w:pPr>
      <w:r w:rsidRPr="00FC3DFE">
        <w:rPr>
          <w:b/>
          <w:bCs/>
          <w:lang w:val="pl-PL"/>
        </w:rPr>
        <w:t>Wpływ Projektu na rozwój uczelni:</w:t>
      </w:r>
    </w:p>
    <w:p w:rsidR="00FC3DFE" w:rsidRDefault="00A90B37" w:rsidP="00A90B37">
      <w:pPr>
        <w:pStyle w:val="Akapitzlist"/>
        <w:numPr>
          <w:ilvl w:val="0"/>
          <w:numId w:val="5"/>
        </w:numPr>
        <w:jc w:val="both"/>
        <w:rPr>
          <w:lang w:val="pl-PL"/>
        </w:rPr>
      </w:pPr>
      <w:r>
        <w:rPr>
          <w:lang w:val="pl-PL"/>
        </w:rPr>
        <w:t xml:space="preserve">Stymulacja aktywności kół studenckich w zakresie projektów związanych z </w:t>
      </w:r>
      <w:r w:rsidRPr="00A90B37">
        <w:rPr>
          <w:lang w:val="pl-PL"/>
        </w:rPr>
        <w:t>wytwarzani</w:t>
      </w:r>
      <w:r>
        <w:rPr>
          <w:lang w:val="pl-PL"/>
        </w:rPr>
        <w:t>em</w:t>
      </w:r>
      <w:r w:rsidRPr="00A90B37">
        <w:rPr>
          <w:lang w:val="pl-PL"/>
        </w:rPr>
        <w:t>, magazynowani</w:t>
      </w:r>
      <w:r>
        <w:rPr>
          <w:lang w:val="pl-PL"/>
        </w:rPr>
        <w:t>em</w:t>
      </w:r>
      <w:r w:rsidRPr="00A90B37">
        <w:rPr>
          <w:lang w:val="pl-PL"/>
        </w:rPr>
        <w:t xml:space="preserve"> oraz energetyczn</w:t>
      </w:r>
      <w:r>
        <w:rPr>
          <w:lang w:val="pl-PL"/>
        </w:rPr>
        <w:t>ym</w:t>
      </w:r>
      <w:r w:rsidRPr="00A90B37">
        <w:rPr>
          <w:lang w:val="pl-PL"/>
        </w:rPr>
        <w:t xml:space="preserve"> wykorzystania wodoru</w:t>
      </w:r>
    </w:p>
    <w:p w:rsidR="00F47B64" w:rsidRDefault="00F47B64" w:rsidP="00A90B37">
      <w:pPr>
        <w:pStyle w:val="Akapitzlist"/>
        <w:numPr>
          <w:ilvl w:val="0"/>
          <w:numId w:val="5"/>
        </w:numPr>
        <w:jc w:val="both"/>
        <w:rPr>
          <w:lang w:val="pl-PL"/>
        </w:rPr>
      </w:pPr>
      <w:r>
        <w:rPr>
          <w:lang w:val="pl-PL"/>
        </w:rPr>
        <w:t>Zwiększenie ilości prac dyplomowych, realizowanych w obszarze gospodarki wodorowej, poprzez zapewnienie dyplomantom odpowiedniej infrastruktury badawczej</w:t>
      </w:r>
    </w:p>
    <w:p w:rsidR="00A90B37" w:rsidRDefault="00A90B37" w:rsidP="00A90B37">
      <w:pPr>
        <w:pStyle w:val="Akapitzlist"/>
        <w:numPr>
          <w:ilvl w:val="0"/>
          <w:numId w:val="5"/>
        </w:numPr>
        <w:jc w:val="both"/>
        <w:rPr>
          <w:lang w:val="pl-PL"/>
        </w:rPr>
      </w:pPr>
      <w:r>
        <w:rPr>
          <w:lang w:val="pl-PL"/>
        </w:rPr>
        <w:t>Uzyskanie rozpoznawalności Politechniki Wrocławskiej jako lidera w zakresie szeroko rozumianej gospodarki wodorowej</w:t>
      </w:r>
    </w:p>
    <w:p w:rsidR="00F47B64" w:rsidRDefault="00F47B64" w:rsidP="00A90B37">
      <w:pPr>
        <w:pStyle w:val="Akapitzlist"/>
        <w:numPr>
          <w:ilvl w:val="0"/>
          <w:numId w:val="5"/>
        </w:numPr>
        <w:jc w:val="both"/>
        <w:rPr>
          <w:lang w:val="pl-PL"/>
        </w:rPr>
      </w:pPr>
      <w:r>
        <w:rPr>
          <w:lang w:val="pl-PL"/>
        </w:rPr>
        <w:t>Możliwość pozyskiwania nowych partnerów przemysłowych w zakresie szeroko rozumianych technologii wodorowych, dzięki możliwości prezentacji potencjału badawczego Politechniki Wrocławskiej w tym zakresie, dzięki otwartemu charakterowi laboratorium</w:t>
      </w:r>
    </w:p>
    <w:p w:rsidR="00A90B37" w:rsidRDefault="00A90B37" w:rsidP="00A90B37">
      <w:pPr>
        <w:pStyle w:val="Akapitzlist"/>
        <w:numPr>
          <w:ilvl w:val="0"/>
          <w:numId w:val="5"/>
        </w:numPr>
        <w:jc w:val="both"/>
        <w:rPr>
          <w:lang w:val="pl-PL"/>
        </w:rPr>
      </w:pPr>
      <w:r>
        <w:rPr>
          <w:lang w:val="pl-PL"/>
        </w:rPr>
        <w:t>Uzyskanie nowych możliwości w zakresie wykazania wpływ</w:t>
      </w:r>
      <w:r w:rsidR="00F47B64">
        <w:rPr>
          <w:lang w:val="pl-PL"/>
        </w:rPr>
        <w:t>u</w:t>
      </w:r>
      <w:r>
        <w:rPr>
          <w:lang w:val="pl-PL"/>
        </w:rPr>
        <w:t xml:space="preserve"> na społeczeństwo i gospodarkę</w:t>
      </w:r>
      <w:r w:rsidR="00F47B64">
        <w:rPr>
          <w:lang w:val="pl-PL"/>
        </w:rPr>
        <w:t xml:space="preserve"> – kryterium III ewaluacji Uczelni wyższych</w:t>
      </w:r>
    </w:p>
    <w:p w:rsidR="00F47B64" w:rsidRDefault="006950FD" w:rsidP="00A90B37">
      <w:pPr>
        <w:pStyle w:val="Akapitzlist"/>
        <w:numPr>
          <w:ilvl w:val="0"/>
          <w:numId w:val="5"/>
        </w:numPr>
        <w:jc w:val="both"/>
        <w:rPr>
          <w:lang w:val="pl-PL"/>
        </w:rPr>
      </w:pPr>
      <w:r>
        <w:rPr>
          <w:lang w:val="pl-PL"/>
        </w:rPr>
        <w:t>Zwiększenie atrakcyjności przyszłego wniosku o przyznanie statusu uczelni badawczej, poprzez wykazanie posiadania odpowiedniej infrastruktury do badań w jakże ważnym w dzisiejszych czasach obszarze</w:t>
      </w:r>
    </w:p>
    <w:p w:rsidR="00E139ED" w:rsidRDefault="006950FD" w:rsidP="00A90B37">
      <w:pPr>
        <w:pStyle w:val="Akapitzlist"/>
        <w:numPr>
          <w:ilvl w:val="0"/>
          <w:numId w:val="5"/>
        </w:numPr>
        <w:jc w:val="both"/>
        <w:rPr>
          <w:lang w:val="pl-PL"/>
        </w:rPr>
      </w:pPr>
      <w:r>
        <w:rPr>
          <w:lang w:val="pl-PL"/>
        </w:rPr>
        <w:t>Rozwój współpracy z Uniwersytetem w Mon</w:t>
      </w:r>
      <w:r w:rsidR="00E139ED">
        <w:rPr>
          <w:lang w:val="pl-PL"/>
        </w:rPr>
        <w:t>t</w:t>
      </w:r>
      <w:r>
        <w:rPr>
          <w:lang w:val="pl-PL"/>
        </w:rPr>
        <w:t>pellier</w:t>
      </w:r>
    </w:p>
    <w:p w:rsidR="006950FD" w:rsidRDefault="00E139ED" w:rsidP="00A90B37">
      <w:pPr>
        <w:pStyle w:val="Akapitzlist"/>
        <w:numPr>
          <w:ilvl w:val="0"/>
          <w:numId w:val="5"/>
        </w:numPr>
        <w:jc w:val="both"/>
        <w:rPr>
          <w:lang w:val="pl-PL"/>
        </w:rPr>
      </w:pPr>
      <w:r>
        <w:rPr>
          <w:lang w:val="pl-PL"/>
        </w:rPr>
        <w:t xml:space="preserve">Praktyczne możliwości zwiększenia umiędzynarodowienia </w:t>
      </w:r>
      <w:proofErr w:type="spellStart"/>
      <w:r>
        <w:rPr>
          <w:lang w:val="pl-PL"/>
        </w:rPr>
        <w:t>PWr</w:t>
      </w:r>
      <w:proofErr w:type="spellEnd"/>
      <w:r>
        <w:rPr>
          <w:lang w:val="pl-PL"/>
        </w:rPr>
        <w:t xml:space="preserve"> poprzez możliwość organizowania staży dla studentów z Montpellier oraz innych uczelni zagranicznych, które odbywałyby się w ramach programów wymiany (np. Erasmus +) wykorzystując infrastrukturę OpenH</w:t>
      </w:r>
      <w:r w:rsidRPr="00E139ED">
        <w:rPr>
          <w:vertAlign w:val="subscript"/>
          <w:lang w:val="pl-PL"/>
        </w:rPr>
        <w:t>2</w:t>
      </w:r>
      <w:r>
        <w:rPr>
          <w:lang w:val="pl-PL"/>
        </w:rPr>
        <w:t>Lab</w:t>
      </w:r>
    </w:p>
    <w:p w:rsidR="0088773F" w:rsidRDefault="0088773F" w:rsidP="0088773F">
      <w:pPr>
        <w:jc w:val="both"/>
        <w:rPr>
          <w:lang w:val="pl-PL"/>
        </w:rPr>
      </w:pPr>
    </w:p>
    <w:p w:rsidR="0088773F" w:rsidRPr="0088773F" w:rsidRDefault="0088773F" w:rsidP="00A45940">
      <w:pPr>
        <w:jc w:val="both"/>
        <w:rPr>
          <w:b/>
          <w:bCs/>
          <w:lang w:val="pl-PL"/>
        </w:rPr>
      </w:pPr>
      <w:r w:rsidRPr="0088773F">
        <w:rPr>
          <w:b/>
          <w:bCs/>
          <w:lang w:val="pl-PL"/>
        </w:rPr>
        <w:t>Bibliografia:</w:t>
      </w:r>
    </w:p>
    <w:p w:rsidR="009E3C38" w:rsidRPr="009E3C38" w:rsidRDefault="00AB0E8E" w:rsidP="00A45940">
      <w:pPr>
        <w:widowControl w:val="0"/>
        <w:autoSpaceDE w:val="0"/>
        <w:autoSpaceDN w:val="0"/>
        <w:adjustRightInd w:val="0"/>
        <w:spacing w:line="240" w:lineRule="auto"/>
        <w:ind w:left="640" w:hanging="640"/>
        <w:jc w:val="both"/>
        <w:rPr>
          <w:rFonts w:ascii="Calibri" w:hAnsi="Calibri" w:cs="Calibri"/>
          <w:noProof/>
          <w:szCs w:val="24"/>
        </w:rPr>
      </w:pPr>
      <w:r>
        <w:rPr>
          <w:lang w:val="pl-PL"/>
        </w:rPr>
        <w:fldChar w:fldCharType="begin" w:fldLock="1"/>
      </w:r>
      <w:r w:rsidRPr="00AA0D29">
        <w:rPr>
          <w:lang w:val="en-US"/>
        </w:rPr>
        <w:instrText xml:space="preserve">ADDIN Mendeley Bibliography CSL_BIBLIOGRAPHY </w:instrText>
      </w:r>
      <w:r>
        <w:rPr>
          <w:lang w:val="pl-PL"/>
        </w:rPr>
        <w:fldChar w:fldCharType="separate"/>
      </w:r>
      <w:r w:rsidR="009E3C38" w:rsidRPr="009E3C38">
        <w:rPr>
          <w:rFonts w:ascii="Calibri" w:hAnsi="Calibri" w:cs="Calibri"/>
          <w:noProof/>
          <w:szCs w:val="24"/>
        </w:rPr>
        <w:t>[1]</w:t>
      </w:r>
      <w:r w:rsidR="009E3C38" w:rsidRPr="009E3C38">
        <w:rPr>
          <w:rFonts w:ascii="Calibri" w:hAnsi="Calibri" w:cs="Calibri"/>
          <w:noProof/>
          <w:szCs w:val="24"/>
        </w:rPr>
        <w:tab/>
        <w:t>J. Cihlar, A.V. Lejarreta, A. Wang, F. Melgar, J. Jens, P. Rio, Hydrogen generation in Europe: Overview of costs and key benefits, Publications Office of the European Union, 2020. doi:10.2833/122757.</w:t>
      </w:r>
    </w:p>
    <w:p w:rsidR="009E3C38" w:rsidRPr="009E3C38" w:rsidRDefault="009E3C38" w:rsidP="00A45940">
      <w:pPr>
        <w:widowControl w:val="0"/>
        <w:autoSpaceDE w:val="0"/>
        <w:autoSpaceDN w:val="0"/>
        <w:adjustRightInd w:val="0"/>
        <w:spacing w:line="240" w:lineRule="auto"/>
        <w:ind w:left="640" w:hanging="640"/>
        <w:jc w:val="both"/>
        <w:rPr>
          <w:rFonts w:ascii="Calibri" w:hAnsi="Calibri" w:cs="Calibri"/>
          <w:noProof/>
          <w:szCs w:val="24"/>
        </w:rPr>
      </w:pPr>
      <w:r w:rsidRPr="009E3C38">
        <w:rPr>
          <w:rFonts w:ascii="Calibri" w:hAnsi="Calibri" w:cs="Calibri"/>
          <w:noProof/>
          <w:szCs w:val="24"/>
        </w:rPr>
        <w:t>[2]</w:t>
      </w:r>
      <w:r w:rsidRPr="009E3C38">
        <w:rPr>
          <w:rFonts w:ascii="Calibri" w:hAnsi="Calibri" w:cs="Calibri"/>
          <w:noProof/>
          <w:szCs w:val="24"/>
        </w:rPr>
        <w:tab/>
        <w:t>H. Pawlak-Kruczek, Ł. Niedźwiecki, M. Ostrycharczyk, M. Czerep, Z. Plutecki, Potential and methods for increasing the flexibility and efficiency of the lignite fired power unit, using integrated lignite drying, Energy. 181 (2019) 1142–1151. doi:10.1016/j.energy.2019.06.026.</w:t>
      </w:r>
    </w:p>
    <w:p w:rsidR="009E3C38" w:rsidRPr="009E3C38" w:rsidRDefault="009E3C38" w:rsidP="00A45940">
      <w:pPr>
        <w:widowControl w:val="0"/>
        <w:autoSpaceDE w:val="0"/>
        <w:autoSpaceDN w:val="0"/>
        <w:adjustRightInd w:val="0"/>
        <w:spacing w:line="240" w:lineRule="auto"/>
        <w:ind w:left="640" w:hanging="640"/>
        <w:jc w:val="both"/>
        <w:rPr>
          <w:rFonts w:ascii="Calibri" w:hAnsi="Calibri" w:cs="Calibri"/>
          <w:noProof/>
          <w:szCs w:val="24"/>
        </w:rPr>
      </w:pPr>
      <w:r w:rsidRPr="009E3C38">
        <w:rPr>
          <w:rFonts w:ascii="Calibri" w:hAnsi="Calibri" w:cs="Calibri"/>
          <w:noProof/>
          <w:szCs w:val="24"/>
        </w:rPr>
        <w:t>[3]</w:t>
      </w:r>
      <w:r w:rsidRPr="009E3C38">
        <w:rPr>
          <w:rFonts w:ascii="Calibri" w:hAnsi="Calibri" w:cs="Calibri"/>
          <w:noProof/>
          <w:szCs w:val="24"/>
        </w:rPr>
        <w:tab/>
        <w:t>T. Mączka, H. Pawlak-Kruczek, L. Niedzwiecki, E. Ziaja, A. Chorążyczewski, Plasma Assisted Combustion as a Cost-Effective Way for Balancing of Intermittent Sources: Techno-Economic Assessment for 200 MWel Power Unit, Energies. 13 (2020). doi:10.3390/en13195056.</w:t>
      </w:r>
    </w:p>
    <w:p w:rsidR="009E3C38" w:rsidRPr="009E3C38" w:rsidRDefault="009E3C38" w:rsidP="00A45940">
      <w:pPr>
        <w:widowControl w:val="0"/>
        <w:autoSpaceDE w:val="0"/>
        <w:autoSpaceDN w:val="0"/>
        <w:adjustRightInd w:val="0"/>
        <w:spacing w:line="240" w:lineRule="auto"/>
        <w:ind w:left="640" w:hanging="640"/>
        <w:jc w:val="both"/>
        <w:rPr>
          <w:rFonts w:ascii="Calibri" w:hAnsi="Calibri" w:cs="Calibri"/>
          <w:noProof/>
          <w:szCs w:val="24"/>
        </w:rPr>
      </w:pPr>
      <w:r w:rsidRPr="009E3C38">
        <w:rPr>
          <w:rFonts w:ascii="Calibri" w:hAnsi="Calibri" w:cs="Calibri"/>
          <w:noProof/>
          <w:szCs w:val="24"/>
        </w:rPr>
        <w:t>[4]</w:t>
      </w:r>
      <w:r w:rsidRPr="009E3C38">
        <w:rPr>
          <w:rFonts w:ascii="Calibri" w:hAnsi="Calibri" w:cs="Calibri"/>
          <w:noProof/>
          <w:szCs w:val="24"/>
        </w:rPr>
        <w:tab/>
        <w:t>L. Firlej, B. Kuchta, A. Lazarewicz, P. Pfeifer, Increased H2 gravimetric storage capacity in truncated carbon slit pores modeled by Grand Canonical Monte Carlo, Carbon N. Y. 53 (2013) 208–215. doi:10.1016/j.carbon.2012.10.049.</w:t>
      </w:r>
    </w:p>
    <w:p w:rsidR="009E3C38" w:rsidRPr="009E3C38" w:rsidRDefault="009E3C38" w:rsidP="00A45940">
      <w:pPr>
        <w:widowControl w:val="0"/>
        <w:autoSpaceDE w:val="0"/>
        <w:autoSpaceDN w:val="0"/>
        <w:adjustRightInd w:val="0"/>
        <w:spacing w:line="240" w:lineRule="auto"/>
        <w:ind w:left="640" w:hanging="640"/>
        <w:jc w:val="both"/>
        <w:rPr>
          <w:rFonts w:ascii="Calibri" w:hAnsi="Calibri" w:cs="Calibri"/>
          <w:noProof/>
        </w:rPr>
      </w:pPr>
      <w:r w:rsidRPr="009E3C38">
        <w:rPr>
          <w:rFonts w:ascii="Calibri" w:hAnsi="Calibri" w:cs="Calibri"/>
          <w:noProof/>
          <w:szCs w:val="24"/>
        </w:rPr>
        <w:t>[5]</w:t>
      </w:r>
      <w:r w:rsidRPr="009E3C38">
        <w:rPr>
          <w:rFonts w:ascii="Calibri" w:hAnsi="Calibri" w:cs="Calibri"/>
          <w:noProof/>
          <w:szCs w:val="24"/>
        </w:rPr>
        <w:tab/>
        <w:t>L. Firlej, B. Kuchta, K. Walczak, C. Journet, Hydrogen Storage in Pure and Boron-Substituted Nanoporous Carbons—Numerical and Experimental Perspective, Nanomaterials. 11 (2021) 2173. doi:10.3390/nano11092173.</w:t>
      </w:r>
    </w:p>
    <w:p w:rsidR="008B36CF" w:rsidRDefault="00AB0E8E" w:rsidP="008B36CF">
      <w:pPr>
        <w:jc w:val="both"/>
        <w:rPr>
          <w:lang w:val="en-US"/>
        </w:rPr>
      </w:pPr>
      <w:r>
        <w:rPr>
          <w:lang w:val="pl-PL"/>
        </w:rPr>
        <w:fldChar w:fldCharType="end"/>
      </w:r>
      <w:r w:rsidR="008B36CF" w:rsidRPr="008B36CF">
        <w:rPr>
          <w:lang w:val="en-US"/>
        </w:rPr>
        <w:t>[6]</w:t>
      </w:r>
      <w:r w:rsidR="008B36CF">
        <w:rPr>
          <w:lang w:val="en-US"/>
        </w:rPr>
        <w:t xml:space="preserve">  PROJEKT HORYZONT EUROPA- C</w:t>
      </w:r>
      <w:r w:rsidR="008B36CF" w:rsidRPr="008B36CF">
        <w:t xml:space="preserve">ICLOPE   Proposal title: </w:t>
      </w:r>
      <w:proofErr w:type="spellStart"/>
      <w:r w:rsidR="008B36CF" w:rsidRPr="008B36CF">
        <w:t>CIrCuLar</w:t>
      </w:r>
      <w:proofErr w:type="spellEnd"/>
      <w:r w:rsidR="008B36CF" w:rsidRPr="008B36CF">
        <w:t xml:space="preserve"> economy </w:t>
      </w:r>
      <w:proofErr w:type="spellStart"/>
      <w:r w:rsidR="008B36CF" w:rsidRPr="008B36CF">
        <w:t>OPportunities</w:t>
      </w:r>
      <w:proofErr w:type="spellEnd"/>
      <w:r w:rsidR="008B36CF" w:rsidRPr="008B36CF">
        <w:t xml:space="preserve"> for Efficient valorisation of </w:t>
      </w:r>
      <w:proofErr w:type="spellStart"/>
      <w:r w:rsidR="008B36CF" w:rsidRPr="008B36CF">
        <w:t>agro</w:t>
      </w:r>
      <w:proofErr w:type="spellEnd"/>
      <w:r w:rsidR="008B36CF" w:rsidRPr="008B36CF">
        <w:t>-wastes</w:t>
      </w:r>
      <w:r w:rsidR="008B36CF">
        <w:t xml:space="preserve"> (TO HYDROGEN, PROTEIN)</w:t>
      </w:r>
    </w:p>
    <w:sectPr w:rsidR="008B36CF" w:rsidSect="003E38C9">
      <w:headerReference w:type="first" r:id="rId15"/>
      <w:pgSz w:w="11907" w:h="16840" w:code="9"/>
      <w:pgMar w:top="1304" w:right="1134" w:bottom="130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79EF" w:rsidRDefault="00AB79EF" w:rsidP="00E511E5">
      <w:pPr>
        <w:spacing w:after="0" w:line="240" w:lineRule="auto"/>
      </w:pPr>
      <w:r>
        <w:separator/>
      </w:r>
    </w:p>
  </w:endnote>
  <w:endnote w:type="continuationSeparator" w:id="0">
    <w:p w:rsidR="00AB79EF" w:rsidRDefault="00AB79EF" w:rsidP="00E51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79EF" w:rsidRDefault="00AB79EF" w:rsidP="00E511E5">
      <w:pPr>
        <w:spacing w:after="0" w:line="240" w:lineRule="auto"/>
      </w:pPr>
      <w:r>
        <w:separator/>
      </w:r>
    </w:p>
  </w:footnote>
  <w:footnote w:type="continuationSeparator" w:id="0">
    <w:p w:rsidR="00AB79EF" w:rsidRDefault="00AB79EF" w:rsidP="00E51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996" w:rsidRPr="001A28F4" w:rsidRDefault="00AB2996" w:rsidP="00AB2996">
    <w:pPr>
      <w:jc w:val="center"/>
      <w:rPr>
        <w:b/>
        <w:bCs/>
        <w:sz w:val="24"/>
        <w:szCs w:val="24"/>
        <w:lang w:val="pl-PL"/>
      </w:rPr>
    </w:pPr>
    <w:r w:rsidRPr="001A28F4">
      <w:rPr>
        <w:b/>
        <w:bCs/>
        <w:sz w:val="24"/>
        <w:szCs w:val="24"/>
        <w:lang w:val="pl-PL"/>
      </w:rPr>
      <w:t>Opis projektu i jego wpływ na rozwój uczelni</w:t>
    </w:r>
  </w:p>
  <w:p w:rsidR="00AB2996" w:rsidRPr="00AA0D29" w:rsidRDefault="00AB2996">
    <w:pPr>
      <w:pStyle w:val="Nagwek"/>
      <w:rPr>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921AF7"/>
    <w:multiLevelType w:val="hybridMultilevel"/>
    <w:tmpl w:val="57F6154E"/>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FA7FCB"/>
    <w:multiLevelType w:val="hybridMultilevel"/>
    <w:tmpl w:val="A98CE5A4"/>
    <w:lvl w:ilvl="0" w:tplc="B718A5F8">
      <w:start w:val="1"/>
      <w:numFmt w:val="bullet"/>
      <w:lvlText w:val="þ"/>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B2537B"/>
    <w:multiLevelType w:val="hybridMultilevel"/>
    <w:tmpl w:val="BC5EE3B6"/>
    <w:lvl w:ilvl="0" w:tplc="0415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064FC0"/>
    <w:multiLevelType w:val="hybridMultilevel"/>
    <w:tmpl w:val="93386D02"/>
    <w:lvl w:ilvl="0" w:tplc="041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6F5D4B"/>
    <w:multiLevelType w:val="hybridMultilevel"/>
    <w:tmpl w:val="8E6EA09C"/>
    <w:lvl w:ilvl="0" w:tplc="770806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0179B9"/>
    <w:multiLevelType w:val="hybridMultilevel"/>
    <w:tmpl w:val="1306323E"/>
    <w:lvl w:ilvl="0" w:tplc="0415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defaultTabStop w:val="720"/>
  <w:hyphenationZone w:val="425"/>
  <w:drawingGridHorizontalSpacing w:val="11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wNDIyMDQ2MDE2NzVT0lEKTi0uzszPAykwrgUAslLJxywAAAA="/>
  </w:docVars>
  <w:rsids>
    <w:rsidRoot w:val="00BB4EBA"/>
    <w:rsid w:val="00010A47"/>
    <w:rsid w:val="000220C5"/>
    <w:rsid w:val="00030352"/>
    <w:rsid w:val="000A0163"/>
    <w:rsid w:val="000C7B81"/>
    <w:rsid w:val="000E420A"/>
    <w:rsid w:val="000E7BF6"/>
    <w:rsid w:val="00143133"/>
    <w:rsid w:val="00154E95"/>
    <w:rsid w:val="001A28F4"/>
    <w:rsid w:val="00215AAC"/>
    <w:rsid w:val="00263235"/>
    <w:rsid w:val="00291CE4"/>
    <w:rsid w:val="002A351A"/>
    <w:rsid w:val="002B68AB"/>
    <w:rsid w:val="002E3E1C"/>
    <w:rsid w:val="002E4E1A"/>
    <w:rsid w:val="00300E10"/>
    <w:rsid w:val="003D031A"/>
    <w:rsid w:val="003D33A9"/>
    <w:rsid w:val="003E0108"/>
    <w:rsid w:val="003E1FCD"/>
    <w:rsid w:val="003E38C9"/>
    <w:rsid w:val="00475B6E"/>
    <w:rsid w:val="004F133F"/>
    <w:rsid w:val="00527D58"/>
    <w:rsid w:val="0053697D"/>
    <w:rsid w:val="0056405D"/>
    <w:rsid w:val="00576C50"/>
    <w:rsid w:val="00576F1C"/>
    <w:rsid w:val="0059557F"/>
    <w:rsid w:val="005D7405"/>
    <w:rsid w:val="005E4A3D"/>
    <w:rsid w:val="005F4386"/>
    <w:rsid w:val="0063284E"/>
    <w:rsid w:val="00642ED4"/>
    <w:rsid w:val="0066166D"/>
    <w:rsid w:val="006950FD"/>
    <w:rsid w:val="006A1F54"/>
    <w:rsid w:val="006C30BF"/>
    <w:rsid w:val="006C42A6"/>
    <w:rsid w:val="006F5574"/>
    <w:rsid w:val="0071004F"/>
    <w:rsid w:val="00744775"/>
    <w:rsid w:val="00763F51"/>
    <w:rsid w:val="00856B74"/>
    <w:rsid w:val="0088773F"/>
    <w:rsid w:val="008A6E54"/>
    <w:rsid w:val="008B36CF"/>
    <w:rsid w:val="008C5253"/>
    <w:rsid w:val="008C7EF3"/>
    <w:rsid w:val="009A17CE"/>
    <w:rsid w:val="009B0C8D"/>
    <w:rsid w:val="009C16EA"/>
    <w:rsid w:val="009D5B31"/>
    <w:rsid w:val="009E3C38"/>
    <w:rsid w:val="00A45940"/>
    <w:rsid w:val="00A90B37"/>
    <w:rsid w:val="00AA0D29"/>
    <w:rsid w:val="00AB0E8E"/>
    <w:rsid w:val="00AB2996"/>
    <w:rsid w:val="00AB79EF"/>
    <w:rsid w:val="00AC473C"/>
    <w:rsid w:val="00AC4C78"/>
    <w:rsid w:val="00B042B3"/>
    <w:rsid w:val="00B16A33"/>
    <w:rsid w:val="00B3799D"/>
    <w:rsid w:val="00B40E73"/>
    <w:rsid w:val="00B67BCF"/>
    <w:rsid w:val="00B955EA"/>
    <w:rsid w:val="00BB40E7"/>
    <w:rsid w:val="00BB4EBA"/>
    <w:rsid w:val="00C116E2"/>
    <w:rsid w:val="00C46619"/>
    <w:rsid w:val="00C6322A"/>
    <w:rsid w:val="00C63F32"/>
    <w:rsid w:val="00C64593"/>
    <w:rsid w:val="00CA116B"/>
    <w:rsid w:val="00D63634"/>
    <w:rsid w:val="00DA04F0"/>
    <w:rsid w:val="00DD42EC"/>
    <w:rsid w:val="00DF54B9"/>
    <w:rsid w:val="00E139ED"/>
    <w:rsid w:val="00E511E5"/>
    <w:rsid w:val="00E878EE"/>
    <w:rsid w:val="00E90731"/>
    <w:rsid w:val="00E9195A"/>
    <w:rsid w:val="00EE6E82"/>
    <w:rsid w:val="00F47B64"/>
    <w:rsid w:val="00FC3DF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04C6FB-6324-4AA9-895C-20A51F32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878EE"/>
    <w:pPr>
      <w:ind w:left="720"/>
      <w:contextualSpacing/>
    </w:pPr>
  </w:style>
  <w:style w:type="paragraph" w:styleId="Legenda">
    <w:name w:val="caption"/>
    <w:basedOn w:val="Normalny"/>
    <w:next w:val="Normalny"/>
    <w:uiPriority w:val="35"/>
    <w:unhideWhenUsed/>
    <w:qFormat/>
    <w:rsid w:val="006C42A6"/>
    <w:pPr>
      <w:spacing w:after="200" w:line="240" w:lineRule="auto"/>
    </w:pPr>
    <w:rPr>
      <w:rFonts w:ascii="Arial" w:eastAsia="Arial" w:hAnsi="Arial" w:cs="Arial"/>
      <w:i/>
      <w:iCs/>
      <w:color w:val="44546A" w:themeColor="text2"/>
      <w:sz w:val="18"/>
      <w:szCs w:val="18"/>
      <w:lang w:val="pl" w:eastAsia="en-AU"/>
    </w:rPr>
  </w:style>
  <w:style w:type="table" w:styleId="Tabela-Siatka">
    <w:name w:val="Table Grid"/>
    <w:basedOn w:val="Standardowy"/>
    <w:uiPriority w:val="59"/>
    <w:rsid w:val="006C42A6"/>
    <w:pPr>
      <w:spacing w:after="0" w:line="240" w:lineRule="auto"/>
    </w:pPr>
    <w:rPr>
      <w:rFonts w:eastAsiaTheme="minorHAns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Domylnaczcionkaakapitu"/>
    <w:rsid w:val="0088773F"/>
  </w:style>
  <w:style w:type="character" w:styleId="Odwoanieprzypisudolnego">
    <w:name w:val="footnote reference"/>
    <w:aliases w:val="Footnote symbol,Times 10 Point,Exposant 3 Point,Footnote number,Footnote Reference Number,Footnote reference number,Footnote Reference Superscript,EN Footnote Reference,note TESI,Voetnootverwijzing,fr,o,FR,F,Footnot"/>
    <w:uiPriority w:val="99"/>
    <w:rsid w:val="00E511E5"/>
    <w:rPr>
      <w:rFonts w:cs="Times New Roman"/>
      <w:vertAlign w:val="superscript"/>
    </w:rPr>
  </w:style>
  <w:style w:type="paragraph" w:styleId="Tekstprzypisudolnego">
    <w:name w:val="footnote text"/>
    <w:aliases w:val="Schriftart: 9 pt,Schriftart: 10 pt,Schriftart: 8 pt,WB-Fußnotentext,fn,Footnotes,Footnote ak,Footnote Text Char,FoodNote,ft,Footnote,Footnote Text Char1,Footnote Text Char Char,Footnote Text Char1 Char Char,RSC_WP (footnotes),f"/>
    <w:basedOn w:val="Normalny"/>
    <w:link w:val="TekstprzypisudolnegoZnak"/>
    <w:uiPriority w:val="99"/>
    <w:qFormat/>
    <w:rsid w:val="00E511E5"/>
    <w:pPr>
      <w:spacing w:after="0" w:line="240" w:lineRule="auto"/>
      <w:jc w:val="both"/>
    </w:pPr>
    <w:rPr>
      <w:rFonts w:ascii="Times New Roman" w:eastAsia="Times New Roman" w:hAnsi="Times New Roman" w:cs="Times New Roman"/>
      <w:sz w:val="20"/>
      <w:szCs w:val="20"/>
      <w:lang w:eastAsia="en-GB"/>
    </w:rPr>
  </w:style>
  <w:style w:type="character" w:customStyle="1" w:styleId="TekstprzypisudolnegoZnak">
    <w:name w:val="Tekst przypisu dolnego Znak"/>
    <w:aliases w:val="Schriftart: 9 pt Znak,Schriftart: 10 pt Znak,Schriftart: 8 pt Znak,WB-Fußnotentext Znak,fn Znak,Footnotes Znak,Footnote ak Znak,Footnote Text Char Znak,FoodNote Znak,ft Znak,Footnote Znak,Footnote Text Char1 Znak,f Znak"/>
    <w:basedOn w:val="Domylnaczcionkaakapitu"/>
    <w:link w:val="Tekstprzypisudolnego"/>
    <w:uiPriority w:val="99"/>
    <w:rsid w:val="00E511E5"/>
    <w:rPr>
      <w:rFonts w:ascii="Times New Roman" w:eastAsia="Times New Roman" w:hAnsi="Times New Roman" w:cs="Times New Roman"/>
      <w:sz w:val="20"/>
      <w:szCs w:val="20"/>
      <w:lang w:eastAsia="en-GB"/>
    </w:rPr>
  </w:style>
  <w:style w:type="paragraph" w:styleId="Nagwek">
    <w:name w:val="header"/>
    <w:basedOn w:val="Normalny"/>
    <w:link w:val="NagwekZnak"/>
    <w:uiPriority w:val="99"/>
    <w:unhideWhenUsed/>
    <w:rsid w:val="00AB299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B2996"/>
  </w:style>
  <w:style w:type="paragraph" w:styleId="Stopka">
    <w:name w:val="footer"/>
    <w:basedOn w:val="Normalny"/>
    <w:link w:val="StopkaZnak"/>
    <w:uiPriority w:val="99"/>
    <w:unhideWhenUsed/>
    <w:rsid w:val="00AB29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B2996"/>
  </w:style>
  <w:style w:type="paragraph" w:styleId="Bezodstpw">
    <w:name w:val="No Spacing"/>
    <w:uiPriority w:val="1"/>
    <w:qFormat/>
    <w:rsid w:val="00642E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850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4EADB-3AF0-4053-8A4C-6B8AE7EE5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2515</Words>
  <Characters>17985</Characters>
  <Application>Microsoft Office Word</Application>
  <DocSecurity>0</DocSecurity>
  <Lines>285</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dc:creator>
  <cp:keywords/>
  <dc:description/>
  <cp:lastModifiedBy>monika.tkaczuk@pwr.edu.pl</cp:lastModifiedBy>
  <cp:revision>2</cp:revision>
  <dcterms:created xsi:type="dcterms:W3CDTF">2022-04-22T12:01:00Z</dcterms:created>
  <dcterms:modified xsi:type="dcterms:W3CDTF">2022-04-22T12:01:00Z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http://www.zotero.org/styles/acs-energy-letters</vt:lpwstr>
  </property>
  <property fmtid="{D5CDD505-2E9C-101B-9397-08002B2CF9AE}" pid="3" name="Mendeley Recent Style Name 0_1">
    <vt:lpwstr>ACS Energy Letters</vt:lpwstr>
  </property>
  <property fmtid="{D5CDD505-2E9C-101B-9397-08002B2CF9AE}" pid="4" name="Mendeley Recent Style Id 1_1">
    <vt:lpwstr>http://www.zotero.org/styles/chicago-fullnote-bibliography</vt:lpwstr>
  </property>
  <property fmtid="{D5CDD505-2E9C-101B-9397-08002B2CF9AE}" pid="5" name="Mendeley Recent Style Name 1_1">
    <vt:lpwstr>Chicago Manual of Style 17th edition (full note)</vt:lpwstr>
  </property>
  <property fmtid="{D5CDD505-2E9C-101B-9397-08002B2CF9AE}" pid="6" name="Mendeley Recent Style Id 2_1">
    <vt:lpwstr>http://www.zotero.org/styles/energy-reports</vt:lpwstr>
  </property>
  <property fmtid="{D5CDD505-2E9C-101B-9397-08002B2CF9AE}" pid="7" name="Mendeley Recent Style Name 2_1">
    <vt:lpwstr>Energy Reports</vt:lpwstr>
  </property>
  <property fmtid="{D5CDD505-2E9C-101B-9397-08002B2CF9AE}" pid="8" name="Mendeley Recent Style Id 3_1">
    <vt:lpwstr>http://www.zotero.org/styles/fuel-processing-technology</vt:lpwstr>
  </property>
  <property fmtid="{D5CDD505-2E9C-101B-9397-08002B2CF9AE}" pid="9" name="Mendeley Recent Style Name 3_1">
    <vt:lpwstr>Fuel Processing Technology</vt:lpwstr>
  </property>
  <property fmtid="{D5CDD505-2E9C-101B-9397-08002B2CF9AE}" pid="10" name="Mendeley Recent Style Id 4_1">
    <vt:lpwstr>http://www.zotero.org/styles/journal-of-energy-resources-technology</vt:lpwstr>
  </property>
  <property fmtid="{D5CDD505-2E9C-101B-9397-08002B2CF9AE}" pid="11" name="Mendeley Recent Style Name 4_1">
    <vt:lpwstr>Journal of Energy Resources Technology</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http://www.zotero.org/styles/oxford-university-press-note</vt:lpwstr>
  </property>
  <property fmtid="{D5CDD505-2E9C-101B-9397-08002B2CF9AE}" pid="15" name="Mendeley Recent Style Name 6_1">
    <vt:lpwstr>Oxford University Press (note)</vt:lpwstr>
  </property>
  <property fmtid="{D5CDD505-2E9C-101B-9397-08002B2CF9AE}" pid="16" name="Mendeley Recent Style Id 7_1">
    <vt:lpwstr>http://www.zotero.org/styles/sustainability</vt:lpwstr>
  </property>
  <property fmtid="{D5CDD505-2E9C-101B-9397-08002B2CF9AE}" pid="17" name="Mendeley Recent Style Name 7_1">
    <vt:lpwstr>Sustainability</vt:lpwstr>
  </property>
  <property fmtid="{D5CDD505-2E9C-101B-9397-08002B2CF9AE}" pid="18" name="Mendeley Recent Style Id 8_1">
    <vt:lpwstr>http://www.zotero.org/styles/turabian-fullnote-bibliography</vt:lpwstr>
  </property>
  <property fmtid="{D5CDD505-2E9C-101B-9397-08002B2CF9AE}" pid="19" name="Mendeley Recent Style Name 8_1">
    <vt:lpwstr>Turabian 8th edition (full note)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a9c9fd35-66e9-3bda-ae02-1cc189d01d73</vt:lpwstr>
  </property>
  <property fmtid="{D5CDD505-2E9C-101B-9397-08002B2CF9AE}" pid="24" name="Mendeley Citation Style_1">
    <vt:lpwstr>http://www.zotero.org/styles/fuel-processing-technology</vt:lpwstr>
  </property>
</Properties>
</file>